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E962E3">
            <w:pPr>
              <w:jc w:val="both"/>
              <w:rPr>
                <w:rFonts w:ascii="Arial" w:hAnsi="Arial"/>
                <w:b/>
                <w:bCs/>
                <w:rtl/>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94424E" w:rsidRDefault="000529D2">
            <w:pPr>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שהם דליות</w:t>
                </w:r>
              </w:sdtContent>
            </w:sdt>
          </w:p>
          <w:p w:rsidR="0094424E" w:rsidRDefault="0094424E">
            <w:pPr>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465D36">
            <w:pPr>
              <w:rPr>
                <w:rFonts w:ascii="Arial" w:hAnsi="Arial"/>
                <w:b/>
                <w:bCs/>
                <w:noProof w:val="0"/>
                <w:sz w:val="26"/>
                <w:szCs w:val="26"/>
              </w:rPr>
            </w:pPr>
          </w:p>
          <w:sdt>
            <w:sdtPr>
              <w:rPr>
                <w:rtl/>
              </w:rPr>
              <w:alias w:val="1180"/>
              <w:tag w:val="1180"/>
              <w:id w:val="637458750"/>
              <w:text w:multiLine="1"/>
            </w:sdtPr>
            <w:sdtEndPr/>
            <w:sdtContent>
              <w:p w:rsidR="00A42BD7" w:rsidRDefault="004127E0" w:rsidP="004127E0">
                <w:pPr>
                  <w:rPr>
                    <w:rFonts w:ascii="Arial" w:hAnsi="Arial"/>
                    <w:b/>
                    <w:bCs/>
                    <w:noProof w:val="0"/>
                    <w:sz w:val="26"/>
                    <w:szCs w:val="26"/>
                    <w:rtl/>
                  </w:rPr>
                </w:pPr>
                <w:r>
                  <w:rPr>
                    <w:rFonts w:ascii="Arial" w:hAnsi="Arial"/>
                    <w:b/>
                    <w:bCs/>
                    <w:noProof w:val="0"/>
                    <w:sz w:val="26"/>
                    <w:szCs w:val="26"/>
                    <w:rtl/>
                  </w:rPr>
                  <w:t>תוב</w:t>
                </w:r>
                <w:r>
                  <w:rPr>
                    <w:rFonts w:ascii="Arial" w:hAnsi="Arial" w:hint="cs"/>
                    <w:b/>
                    <w:bCs/>
                    <w:noProof w:val="0"/>
                    <w:sz w:val="26"/>
                    <w:szCs w:val="26"/>
                    <w:rtl/>
                  </w:rPr>
                  <w:t>עת</w:t>
                </w:r>
              </w:p>
            </w:sdtContent>
          </w:sdt>
        </w:tc>
        <w:tc>
          <w:tcPr>
            <w:tcW w:w="5571" w:type="dxa"/>
          </w:tcPr>
          <w:p w:rsidR="0094424E" w:rsidRDefault="0094424E">
            <w:pPr>
              <w:rPr>
                <w:rFonts w:ascii="Arial" w:hAnsi="Arial"/>
                <w:b/>
                <w:bCs/>
                <w:noProof w:val="0"/>
                <w:sz w:val="26"/>
                <w:szCs w:val="26"/>
                <w:rtl/>
              </w:rPr>
            </w:pPr>
          </w:p>
          <w:p w:rsidR="0094424E" w:rsidRDefault="00620E0D" w:rsidP="005A2658">
            <w:pPr>
              <w:rPr>
                <w:b/>
                <w:bCs/>
                <w:noProof w:val="0"/>
                <w:sz w:val="26"/>
                <w:szCs w:val="26"/>
              </w:rPr>
            </w:pPr>
            <w:sdt>
              <w:sdtPr>
                <w:rPr>
                  <w:rtl/>
                </w:rPr>
                <w:alias w:val="1478"/>
                <w:tag w:val="1478"/>
                <w:id w:val="-2076122985"/>
                <w:text w:multiLine="1"/>
              </w:sdtPr>
              <w:sdtEndPr/>
              <w:sdtContent>
                <w:r w:rsidR="005A2658">
                  <w:rPr>
                    <w:rFonts w:ascii="Arial" w:hAnsi="Arial" w:hint="cs"/>
                    <w:b/>
                    <w:bCs/>
                    <w:noProof w:val="0"/>
                    <w:sz w:val="26"/>
                    <w:szCs w:val="26"/>
                    <w:rtl/>
                  </w:rPr>
                  <w:t xml:space="preserve">פלונית </w:t>
                </w:r>
              </w:sdtContent>
            </w:sdt>
            <w:r w:rsidR="00AE3E77">
              <w:rPr>
                <w:rFonts w:hint="cs"/>
                <w:rtl/>
              </w:rPr>
              <w:t xml:space="preserve"> </w:t>
            </w:r>
            <w:r w:rsidR="00AE3E77" w:rsidRPr="00AE3E77">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725870067"/>
                <w:placeholder>
                  <w:docPart w:val="E1D428B32AE54FA8B4D0E3C277F79364"/>
                </w:placeholder>
                <w:text w:multiLine="1"/>
              </w:sdtPr>
              <w:sdtEndPr/>
              <w:sdtContent>
                <w:r w:rsidR="004127E0">
                  <w:rPr>
                    <w:rFonts w:ascii="Arial" w:hAnsi="Arial"/>
                    <w:b/>
                    <w:bCs/>
                    <w:noProof w:val="0"/>
                    <w:sz w:val="26"/>
                    <w:szCs w:val="26"/>
                    <w:rtl/>
                  </w:rPr>
                  <w:br/>
                </w:r>
                <w:r w:rsidR="004127E0">
                  <w:rPr>
                    <w:rFonts w:ascii="Arial" w:hAnsi="Arial" w:hint="cs"/>
                    <w:b/>
                    <w:bCs/>
                    <w:noProof w:val="0"/>
                    <w:sz w:val="26"/>
                    <w:szCs w:val="26"/>
                    <w:rtl/>
                  </w:rPr>
                  <w:t>ע"י ב"כ עוה"ד נטלי ביטון</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94424E">
            <w:pPr>
              <w:rPr>
                <w:rFonts w:ascii="Arial" w:hAnsi="Arial"/>
                <w:b/>
                <w:bCs/>
                <w:noProof w:val="0"/>
                <w:sz w:val="26"/>
                <w:szCs w:val="26"/>
                <w:rtl/>
              </w:rPr>
            </w:pPr>
          </w:p>
          <w:p w:rsidR="0094424E" w:rsidRDefault="00620E0D" w:rsidP="004127E0">
            <w:pPr>
              <w:rPr>
                <w:rFonts w:ascii="Arial" w:hAnsi="Arial"/>
                <w:b/>
                <w:bCs/>
                <w:noProof w:val="0"/>
                <w:sz w:val="26"/>
                <w:szCs w:val="26"/>
              </w:rPr>
            </w:pPr>
            <w:sdt>
              <w:sdtPr>
                <w:rPr>
                  <w:rtl/>
                </w:rPr>
                <w:alias w:val="1184"/>
                <w:tag w:val="1184"/>
                <w:id w:val="-340621022"/>
                <w:text w:multiLine="1"/>
              </w:sdtPr>
              <w:sdtEndPr/>
              <w:sdtContent>
                <w:r w:rsidR="004127E0">
                  <w:rPr>
                    <w:rFonts w:ascii="Arial" w:hAnsi="Arial"/>
                    <w:b/>
                    <w:bCs/>
                    <w:noProof w:val="0"/>
                    <w:sz w:val="26"/>
                    <w:szCs w:val="26"/>
                    <w:rtl/>
                  </w:rPr>
                  <w:t>נתבע</w:t>
                </w:r>
              </w:sdtContent>
            </w:sdt>
          </w:p>
        </w:tc>
        <w:tc>
          <w:tcPr>
            <w:tcW w:w="5571" w:type="dxa"/>
          </w:tcPr>
          <w:p w:rsidR="005A2658" w:rsidRDefault="005A2658" w:rsidP="005A2658">
            <w:pPr>
              <w:rPr>
                <w:rFonts w:ascii="Arial" w:hAnsi="Arial"/>
                <w:b/>
                <w:bCs/>
                <w:noProof w:val="0"/>
                <w:sz w:val="26"/>
                <w:szCs w:val="26"/>
                <w:rtl/>
              </w:rPr>
            </w:pPr>
          </w:p>
          <w:p w:rsidR="0094424E" w:rsidRDefault="005A2658" w:rsidP="005A2658">
            <w:pPr>
              <w:rPr>
                <w:b/>
                <w:bCs/>
                <w:noProof w:val="0"/>
                <w:sz w:val="26"/>
                <w:szCs w:val="26"/>
                <w:rtl/>
              </w:rPr>
            </w:pPr>
            <w:r>
              <w:rPr>
                <w:rFonts w:ascii="Arial" w:hAnsi="Arial" w:hint="cs"/>
                <w:b/>
                <w:bCs/>
                <w:noProof w:val="0"/>
                <w:sz w:val="26"/>
                <w:szCs w:val="26"/>
                <w:rtl/>
              </w:rPr>
              <w:t>פלוני</w:t>
            </w:r>
            <w:r w:rsidR="00AE3E77" w:rsidRPr="00AE3E77">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63463744"/>
                <w:placeholder>
                  <w:docPart w:val="F0C200D36FCF4F5884C7408F30B556ED"/>
                </w:placeholder>
                <w:text w:multiLine="1"/>
              </w:sdtPr>
              <w:sdtEndPr/>
              <w:sdtContent>
                <w:r w:rsidR="004127E0">
                  <w:rPr>
                    <w:rFonts w:ascii="Arial" w:hAnsi="Arial"/>
                    <w:b/>
                    <w:bCs/>
                    <w:noProof w:val="0"/>
                    <w:sz w:val="26"/>
                    <w:szCs w:val="26"/>
                    <w:rtl/>
                  </w:rPr>
                  <w:br/>
                </w:r>
                <w:r w:rsidR="004127E0">
                  <w:rPr>
                    <w:rFonts w:ascii="Arial" w:hAnsi="Arial" w:hint="cs"/>
                    <w:b/>
                    <w:bCs/>
                    <w:noProof w:val="0"/>
                    <w:sz w:val="26"/>
                    <w:szCs w:val="26"/>
                    <w:rtl/>
                  </w:rPr>
                  <w:t>ע"י ב"כ עוה"ד כרמל מזוז</w:t>
                </w:r>
              </w:sdtContent>
            </w:sdt>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DE1E7D" w:rsidRDefault="000964A6">
            <w:pPr>
              <w:bidi w:val="0"/>
              <w:jc w:val="center"/>
              <w:rPr>
                <w:rFonts w:ascii="Arial" w:hAnsi="Arial"/>
                <w:b/>
                <w:bCs/>
                <w:noProof w:val="0"/>
                <w:u w:val="single"/>
              </w:rPr>
            </w:pPr>
            <w:r w:rsidRPr="003D5AB9">
              <w:rPr>
                <w:rFonts w:ascii="Arial" w:hAnsi="Arial" w:hint="cs"/>
                <w:b/>
                <w:bCs/>
                <w:noProof w:val="0"/>
                <w:sz w:val="28"/>
                <w:szCs w:val="28"/>
                <w:u w:val="single"/>
                <w:rtl/>
              </w:rPr>
              <w:t>פסק דין</w:t>
            </w:r>
          </w:p>
        </w:tc>
      </w:tr>
    </w:tbl>
    <w:p w:rsidR="00694556" w:rsidRPr="00DE1E7D" w:rsidRDefault="00694556">
      <w:pPr>
        <w:spacing w:line="360" w:lineRule="auto"/>
        <w:jc w:val="both"/>
        <w:rPr>
          <w:rFonts w:ascii="Arial" w:hAnsi="Arial"/>
          <w:noProof w:val="0"/>
          <w:rtl/>
        </w:rPr>
      </w:pPr>
    </w:p>
    <w:p w:rsidR="004127E0" w:rsidRDefault="004127E0" w:rsidP="004127E0">
      <w:pPr>
        <w:spacing w:line="360" w:lineRule="auto"/>
        <w:jc w:val="both"/>
        <w:rPr>
          <w:rFonts w:ascii="David" w:hAnsi="David"/>
          <w:rtl/>
        </w:rPr>
      </w:pPr>
      <w:bookmarkStart w:id="1" w:name="NGCSBookmark"/>
      <w:bookmarkEnd w:id="1"/>
      <w:r>
        <w:rPr>
          <w:rFonts w:ascii="David" w:hAnsi="David"/>
          <w:rtl/>
        </w:rPr>
        <w:t xml:space="preserve">על המדוכה תובענה רכושית לאיזון משאבים ופירוק שיתוף. </w:t>
      </w:r>
    </w:p>
    <w:p w:rsidR="004127E0" w:rsidRDefault="004127E0" w:rsidP="004127E0">
      <w:pPr>
        <w:spacing w:line="360" w:lineRule="auto"/>
        <w:jc w:val="both"/>
        <w:rPr>
          <w:rFonts w:ascii="David" w:hAnsi="David"/>
          <w:rtl/>
        </w:rPr>
      </w:pPr>
    </w:p>
    <w:p w:rsidR="004127E0" w:rsidRDefault="004127E0" w:rsidP="004127E0">
      <w:pPr>
        <w:spacing w:line="360" w:lineRule="auto"/>
        <w:jc w:val="both"/>
        <w:rPr>
          <w:rFonts w:ascii="David" w:hAnsi="David"/>
          <w:b/>
          <w:bCs/>
          <w:u w:val="single"/>
          <w:rtl/>
        </w:rPr>
      </w:pPr>
      <w:r>
        <w:rPr>
          <w:rFonts w:ascii="David" w:hAnsi="David"/>
          <w:b/>
          <w:bCs/>
          <w:u w:val="single"/>
          <w:rtl/>
        </w:rPr>
        <w:t>רקע עובדתי ודיוני</w:t>
      </w:r>
    </w:p>
    <w:p w:rsidR="004127E0" w:rsidRDefault="004127E0" w:rsidP="005A2658">
      <w:pPr>
        <w:pStyle w:val="ad"/>
        <w:numPr>
          <w:ilvl w:val="0"/>
          <w:numId w:val="1"/>
        </w:numPr>
        <w:spacing w:after="0" w:line="360" w:lineRule="auto"/>
        <w:jc w:val="both"/>
        <w:rPr>
          <w:rFonts w:ascii="David" w:eastAsia="Times New Roman" w:hAnsi="David" w:cs="David"/>
          <w:noProof/>
          <w:sz w:val="24"/>
          <w:szCs w:val="24"/>
          <w:rtl/>
        </w:rPr>
      </w:pPr>
      <w:r>
        <w:rPr>
          <w:rFonts w:ascii="David" w:eastAsia="Times New Roman" w:hAnsi="David" w:cs="David"/>
          <w:noProof/>
          <w:sz w:val="24"/>
          <w:szCs w:val="24"/>
          <w:rtl/>
        </w:rPr>
        <w:t xml:space="preserve">התובעת והנתבע </w:t>
      </w:r>
      <w:r>
        <w:rPr>
          <w:rFonts w:ascii="David" w:eastAsia="Times New Roman" w:hAnsi="David" w:cs="David"/>
          <w:b/>
          <w:bCs/>
          <w:noProof/>
          <w:sz w:val="24"/>
          <w:szCs w:val="24"/>
          <w:rtl/>
        </w:rPr>
        <w:t>(להלן: "הצדדים")</w:t>
      </w:r>
      <w:r w:rsidR="005A2658">
        <w:rPr>
          <w:rFonts w:ascii="David" w:eastAsia="Times New Roman" w:hAnsi="David" w:cs="David"/>
          <w:noProof/>
          <w:sz w:val="24"/>
          <w:szCs w:val="24"/>
          <w:rtl/>
        </w:rPr>
        <w:t xml:space="preserve"> הינם בני זוג אשר נישאו ביו</w:t>
      </w:r>
      <w:r w:rsidR="005A2658">
        <w:rPr>
          <w:rFonts w:ascii="David" w:eastAsia="Times New Roman" w:hAnsi="David" w:cs="David" w:hint="cs"/>
          <w:noProof/>
          <w:sz w:val="24"/>
          <w:szCs w:val="24"/>
          <w:rtl/>
        </w:rPr>
        <w:t>ם 1984.</w:t>
      </w:r>
      <w:r>
        <w:rPr>
          <w:rFonts w:ascii="David" w:eastAsia="Times New Roman" w:hAnsi="David" w:cs="David"/>
          <w:noProof/>
          <w:sz w:val="24"/>
          <w:szCs w:val="24"/>
          <w:rtl/>
        </w:rPr>
        <w:t xml:space="preserve"> </w:t>
      </w:r>
      <w:r w:rsidR="005A2658" w:rsidRPr="009303F8">
        <w:rPr>
          <w:rFonts w:ascii="David" w:eastAsia="Times New Roman" w:hAnsi="David" w:cs="David" w:hint="cs"/>
          <w:noProof/>
          <w:sz w:val="18"/>
          <w:szCs w:val="18"/>
        </w:rPr>
        <w:t>X</w:t>
      </w:r>
      <w:r w:rsidR="005A2658">
        <w:rPr>
          <w:rFonts w:ascii="David" w:eastAsia="Times New Roman" w:hAnsi="David" w:cs="David" w:hint="cs"/>
          <w:noProof/>
          <w:sz w:val="24"/>
          <w:szCs w:val="24"/>
          <w:rtl/>
        </w:rPr>
        <w:t>.</w:t>
      </w:r>
      <w:r w:rsidR="005A2658" w:rsidRPr="009303F8">
        <w:rPr>
          <w:rFonts w:ascii="David" w:eastAsia="Times New Roman" w:hAnsi="David" w:cs="David" w:hint="cs"/>
          <w:noProof/>
          <w:sz w:val="18"/>
          <w:szCs w:val="18"/>
        </w:rPr>
        <w:t>X</w:t>
      </w:r>
      <w:r w:rsidRPr="009303F8">
        <w:rPr>
          <w:rFonts w:ascii="David" w:eastAsia="Times New Roman" w:hAnsi="David" w:cs="David"/>
          <w:noProof/>
          <w:sz w:val="18"/>
          <w:szCs w:val="18"/>
          <w:rtl/>
        </w:rPr>
        <w:t xml:space="preserve">, </w:t>
      </w:r>
      <w:r>
        <w:rPr>
          <w:rFonts w:ascii="David" w:eastAsia="Times New Roman" w:hAnsi="David" w:cs="David"/>
          <w:noProof/>
          <w:sz w:val="24"/>
          <w:szCs w:val="24"/>
          <w:rtl/>
        </w:rPr>
        <w:t xml:space="preserve">הורים לשלושה ילדים בגירים. </w:t>
      </w:r>
    </w:p>
    <w:p w:rsidR="004127E0" w:rsidRDefault="004127E0" w:rsidP="004127E0">
      <w:pPr>
        <w:pStyle w:val="ad"/>
        <w:spacing w:after="0" w:line="360" w:lineRule="auto"/>
        <w:ind w:left="360"/>
        <w:jc w:val="both"/>
        <w:rPr>
          <w:rFonts w:ascii="David" w:eastAsia="Times New Roman" w:hAnsi="David" w:cs="David"/>
          <w:noProof/>
          <w:sz w:val="24"/>
          <w:szCs w:val="24"/>
        </w:rPr>
      </w:pPr>
    </w:p>
    <w:p w:rsidR="004127E0" w:rsidRDefault="004127E0" w:rsidP="004127E0">
      <w:pPr>
        <w:pStyle w:val="ad"/>
        <w:numPr>
          <w:ilvl w:val="0"/>
          <w:numId w:val="1"/>
        </w:numPr>
        <w:spacing w:line="360" w:lineRule="auto"/>
        <w:jc w:val="both"/>
        <w:rPr>
          <w:rFonts w:ascii="David" w:hAnsi="David" w:cs="David"/>
          <w:noProof/>
          <w:sz w:val="24"/>
          <w:szCs w:val="24"/>
        </w:rPr>
      </w:pPr>
      <w:r>
        <w:rPr>
          <w:rFonts w:ascii="David" w:hAnsi="David" w:cs="David"/>
          <w:noProof/>
          <w:sz w:val="24"/>
          <w:szCs w:val="24"/>
          <w:rtl/>
        </w:rPr>
        <w:t xml:space="preserve">בהסכמת הצדדים שגובשה לאחר קיום דיון מקדמי בניהם ולה ניתן תוקף של החלטה ביום 14.5.2021 נקבע, כי מועד הקרע לצורך איזון זכויות וחובות "בחשבונות הבנק , כספים, זכויות סוציאליות ואחרות ורכבים הרשומים על שם הצדדים", הוא ביום 17.6.2018 ולצורך איזון זכויות לגמלת פנסיה חודשית ביום 1.9.2019.  </w:t>
      </w:r>
    </w:p>
    <w:p w:rsidR="004127E0" w:rsidRDefault="004127E0" w:rsidP="004127E0">
      <w:pPr>
        <w:pStyle w:val="ad"/>
        <w:spacing w:line="360" w:lineRule="auto"/>
        <w:ind w:left="360"/>
        <w:jc w:val="both"/>
        <w:rPr>
          <w:rFonts w:ascii="David" w:hAnsi="David" w:cs="David"/>
          <w:noProof/>
          <w:color w:val="FF0000"/>
          <w:sz w:val="24"/>
          <w:szCs w:val="24"/>
        </w:rPr>
      </w:pPr>
    </w:p>
    <w:p w:rsidR="004127E0" w:rsidRDefault="004127E0" w:rsidP="004127E0">
      <w:pPr>
        <w:pStyle w:val="ad"/>
        <w:numPr>
          <w:ilvl w:val="0"/>
          <w:numId w:val="1"/>
        </w:numPr>
        <w:spacing w:line="360" w:lineRule="auto"/>
        <w:jc w:val="both"/>
        <w:rPr>
          <w:rFonts w:ascii="David" w:hAnsi="David" w:cs="David"/>
          <w:noProof/>
          <w:sz w:val="24"/>
          <w:szCs w:val="24"/>
        </w:rPr>
      </w:pPr>
      <w:r>
        <w:rPr>
          <w:rFonts w:ascii="David" w:hAnsi="David" w:cs="David"/>
          <w:noProof/>
          <w:sz w:val="24"/>
          <w:szCs w:val="24"/>
          <w:rtl/>
        </w:rPr>
        <w:t xml:space="preserve">ניתנו צווי גילוי מסמכים בהתאם להסכמות הצדדים. </w:t>
      </w:r>
    </w:p>
    <w:p w:rsidR="004127E0" w:rsidRDefault="004127E0" w:rsidP="004127E0">
      <w:pPr>
        <w:pStyle w:val="ad"/>
        <w:spacing w:line="360" w:lineRule="auto"/>
        <w:ind w:left="360"/>
        <w:jc w:val="both"/>
        <w:rPr>
          <w:rFonts w:ascii="David" w:hAnsi="David" w:cs="David"/>
          <w:noProof/>
          <w:sz w:val="24"/>
          <w:szCs w:val="24"/>
        </w:rPr>
      </w:pPr>
    </w:p>
    <w:p w:rsidR="004127E0" w:rsidRDefault="004127E0" w:rsidP="004127E0">
      <w:pPr>
        <w:pStyle w:val="ad"/>
        <w:numPr>
          <w:ilvl w:val="0"/>
          <w:numId w:val="1"/>
        </w:numPr>
        <w:spacing w:line="360" w:lineRule="auto"/>
        <w:jc w:val="both"/>
        <w:rPr>
          <w:rFonts w:ascii="David" w:hAnsi="David" w:cs="David"/>
          <w:noProof/>
          <w:sz w:val="24"/>
          <w:szCs w:val="24"/>
        </w:rPr>
      </w:pPr>
      <w:r>
        <w:rPr>
          <w:rFonts w:ascii="David" w:hAnsi="David" w:cs="David"/>
          <w:sz w:val="24"/>
          <w:szCs w:val="24"/>
          <w:rtl/>
        </w:rPr>
        <w:t>בהחלטה מיום 14.5.21 מונה מר אבי יחזקאל כמומחה מטעם בית המשפט לצורך שומת זכויותיהם הכלכליות של הצדדים מיום הנישואין ועד מועד הקרע. דו"ח מטעם האקטואר הוגש ביום 13.7.22.</w:t>
      </w:r>
    </w:p>
    <w:p w:rsidR="004127E0" w:rsidRDefault="004127E0" w:rsidP="009303F8">
      <w:pPr>
        <w:pStyle w:val="ad"/>
        <w:spacing w:line="360" w:lineRule="auto"/>
        <w:ind w:left="360"/>
        <w:jc w:val="both"/>
        <w:rPr>
          <w:rFonts w:ascii="David" w:hAnsi="David" w:cs="David"/>
          <w:noProof/>
          <w:sz w:val="24"/>
          <w:szCs w:val="24"/>
          <w:rtl/>
        </w:rPr>
      </w:pPr>
      <w:r>
        <w:rPr>
          <w:rFonts w:ascii="David" w:hAnsi="David" w:cs="David"/>
          <w:noProof/>
          <w:sz w:val="24"/>
          <w:szCs w:val="24"/>
          <w:rtl/>
        </w:rPr>
        <w:t>בדיון מיום 30.1.23 הובהר כי הצדדים מקבלים את</w:t>
      </w:r>
      <w:r w:rsidR="009825DA">
        <w:rPr>
          <w:rFonts w:ascii="David" w:hAnsi="David" w:cs="David"/>
          <w:noProof/>
          <w:sz w:val="24"/>
          <w:szCs w:val="24"/>
          <w:rtl/>
        </w:rPr>
        <w:t xml:space="preserve"> ממצאי חוות הדעת</w:t>
      </w:r>
      <w:r w:rsidR="009825DA">
        <w:rPr>
          <w:rFonts w:ascii="David" w:hAnsi="David" w:cs="David" w:hint="cs"/>
          <w:noProof/>
          <w:sz w:val="24"/>
          <w:szCs w:val="24"/>
          <w:rtl/>
        </w:rPr>
        <w:t xml:space="preserve">. </w:t>
      </w:r>
      <w:r>
        <w:rPr>
          <w:rFonts w:ascii="David" w:hAnsi="David" w:cs="David"/>
          <w:noProof/>
          <w:sz w:val="24"/>
          <w:szCs w:val="24"/>
          <w:rtl/>
        </w:rPr>
        <w:t>אף האמור, במסגרת סיכומיה התובעת ביקשה להשיג על חישוב ז</w:t>
      </w:r>
      <w:r w:rsidR="009303F8">
        <w:rPr>
          <w:rFonts w:ascii="David" w:hAnsi="David" w:cs="David"/>
          <w:noProof/>
          <w:sz w:val="24"/>
          <w:szCs w:val="24"/>
          <w:rtl/>
        </w:rPr>
        <w:t>כויותיו של הנתבע במקום עבודתו ב</w:t>
      </w:r>
      <w:r w:rsidR="009303F8">
        <w:rPr>
          <w:rFonts w:ascii="David" w:hAnsi="David" w:cs="David" w:hint="cs"/>
          <w:noProof/>
          <w:sz w:val="24"/>
          <w:szCs w:val="24"/>
          <w:rtl/>
        </w:rPr>
        <w:t xml:space="preserve"> ***</w:t>
      </w:r>
      <w:r>
        <w:rPr>
          <w:rFonts w:ascii="David" w:hAnsi="David" w:cs="David"/>
          <w:noProof/>
          <w:sz w:val="24"/>
          <w:szCs w:val="24"/>
          <w:rtl/>
        </w:rPr>
        <w:t xml:space="preserve"> .</w:t>
      </w:r>
    </w:p>
    <w:p w:rsidR="004127E0" w:rsidRDefault="004127E0" w:rsidP="004127E0">
      <w:pPr>
        <w:pStyle w:val="ad"/>
        <w:spacing w:line="360" w:lineRule="auto"/>
        <w:ind w:left="360"/>
        <w:jc w:val="both"/>
        <w:rPr>
          <w:rFonts w:ascii="David" w:hAnsi="David" w:cs="David"/>
          <w:noProof/>
          <w:sz w:val="24"/>
          <w:szCs w:val="24"/>
        </w:rPr>
      </w:pPr>
      <w:r>
        <w:rPr>
          <w:rFonts w:ascii="David" w:hAnsi="David" w:cs="David"/>
          <w:sz w:val="24"/>
          <w:szCs w:val="24"/>
          <w:rtl/>
        </w:rPr>
        <w:t xml:space="preserve"> </w:t>
      </w:r>
    </w:p>
    <w:p w:rsidR="004127E0" w:rsidRDefault="00B86C07" w:rsidP="009303F8">
      <w:pPr>
        <w:pStyle w:val="ad"/>
        <w:numPr>
          <w:ilvl w:val="0"/>
          <w:numId w:val="1"/>
        </w:numPr>
        <w:spacing w:after="0" w:line="360" w:lineRule="auto"/>
        <w:jc w:val="both"/>
        <w:rPr>
          <w:rFonts w:ascii="David" w:hAnsi="David" w:cs="David"/>
          <w:noProof/>
          <w:sz w:val="24"/>
          <w:szCs w:val="24"/>
        </w:rPr>
      </w:pPr>
      <w:r>
        <w:rPr>
          <w:rFonts w:ascii="David" w:hAnsi="David" w:cs="David"/>
          <w:noProof/>
          <w:sz w:val="24"/>
          <w:szCs w:val="24"/>
          <w:rtl/>
        </w:rPr>
        <w:t>ביום 13.6.2021</w:t>
      </w:r>
      <w:r>
        <w:rPr>
          <w:rFonts w:ascii="David" w:hAnsi="David" w:cs="David" w:hint="cs"/>
          <w:noProof/>
          <w:sz w:val="24"/>
          <w:szCs w:val="24"/>
        </w:rPr>
        <w:t xml:space="preserve"> </w:t>
      </w:r>
      <w:r w:rsidR="004127E0">
        <w:rPr>
          <w:rFonts w:ascii="David" w:hAnsi="David" w:cs="David"/>
          <w:noProof/>
          <w:sz w:val="24"/>
          <w:szCs w:val="24"/>
          <w:rtl/>
        </w:rPr>
        <w:t xml:space="preserve">אושר וניתן תוקף של פסק דין להסכמות הצדדים בקשר עם מכר ביתם המשותף </w:t>
      </w:r>
      <w:r w:rsidR="005A2658">
        <w:rPr>
          <w:rFonts w:ascii="David" w:hAnsi="David" w:cs="David" w:hint="cs"/>
          <w:noProof/>
          <w:sz w:val="24"/>
          <w:szCs w:val="24"/>
          <w:rtl/>
        </w:rPr>
        <w:t xml:space="preserve">ב </w:t>
      </w:r>
      <w:r w:rsidR="009303F8">
        <w:rPr>
          <w:rFonts w:ascii="David" w:hAnsi="David" w:cs="David" w:hint="cs"/>
          <w:noProof/>
          <w:sz w:val="24"/>
          <w:szCs w:val="24"/>
          <w:rtl/>
        </w:rPr>
        <w:t>***</w:t>
      </w:r>
      <w:r w:rsidR="009825DA">
        <w:rPr>
          <w:rFonts w:ascii="David" w:hAnsi="David" w:cs="David" w:hint="cs"/>
          <w:noProof/>
          <w:sz w:val="24"/>
          <w:szCs w:val="24"/>
          <w:rtl/>
        </w:rPr>
        <w:t xml:space="preserve"> (להלן:"</w:t>
      </w:r>
      <w:r w:rsidR="009825DA" w:rsidRPr="009825DA">
        <w:rPr>
          <w:rFonts w:ascii="David" w:hAnsi="David" w:cs="David" w:hint="cs"/>
          <w:b/>
          <w:bCs/>
          <w:noProof/>
          <w:sz w:val="24"/>
          <w:szCs w:val="24"/>
          <w:rtl/>
        </w:rPr>
        <w:t>הבית</w:t>
      </w:r>
      <w:r w:rsidR="009825DA">
        <w:rPr>
          <w:rFonts w:ascii="David" w:hAnsi="David" w:cs="David" w:hint="cs"/>
          <w:noProof/>
          <w:sz w:val="24"/>
          <w:szCs w:val="24"/>
          <w:rtl/>
        </w:rPr>
        <w:t>" או "</w:t>
      </w:r>
      <w:r w:rsidR="009825DA">
        <w:rPr>
          <w:rFonts w:ascii="David" w:hAnsi="David" w:cs="David" w:hint="cs"/>
          <w:b/>
          <w:bCs/>
          <w:noProof/>
          <w:sz w:val="24"/>
          <w:szCs w:val="24"/>
          <w:rtl/>
        </w:rPr>
        <w:t>הנכס"</w:t>
      </w:r>
      <w:r w:rsidR="009825DA">
        <w:rPr>
          <w:rFonts w:ascii="David" w:hAnsi="David" w:cs="David" w:hint="cs"/>
          <w:noProof/>
          <w:sz w:val="24"/>
          <w:szCs w:val="24"/>
          <w:rtl/>
        </w:rPr>
        <w:t>)</w:t>
      </w:r>
      <w:r w:rsidR="004127E0">
        <w:rPr>
          <w:rFonts w:ascii="David" w:hAnsi="David" w:cs="David"/>
          <w:noProof/>
          <w:sz w:val="24"/>
          <w:szCs w:val="24"/>
          <w:rtl/>
        </w:rPr>
        <w:t xml:space="preserve">. </w:t>
      </w:r>
      <w:r w:rsidR="009825DA">
        <w:rPr>
          <w:rFonts w:ascii="David" w:hAnsi="David" w:cs="David" w:hint="cs"/>
          <w:noProof/>
          <w:sz w:val="24"/>
          <w:szCs w:val="24"/>
          <w:rtl/>
        </w:rPr>
        <w:t xml:space="preserve">על </w:t>
      </w:r>
      <w:r w:rsidR="004127E0">
        <w:rPr>
          <w:rFonts w:ascii="David" w:hAnsi="David" w:cs="David"/>
          <w:noProof/>
          <w:sz w:val="24"/>
          <w:szCs w:val="24"/>
          <w:rtl/>
        </w:rPr>
        <w:t>פי אותו הסדר רכש הנתבע את חלקה של התובעת בנכס בתמורה לסך של 565,000 ₪. במסגרת הסכם זה הוסדרה גם חלוקת המטלטלין המשותפים.</w:t>
      </w:r>
    </w:p>
    <w:p w:rsidR="004127E0" w:rsidRDefault="004127E0" w:rsidP="009825DA">
      <w:pPr>
        <w:pStyle w:val="ad"/>
        <w:spacing w:after="0" w:line="360" w:lineRule="auto"/>
        <w:rPr>
          <w:rFonts w:ascii="David" w:hAnsi="David" w:cs="David"/>
          <w:noProof/>
          <w:sz w:val="24"/>
          <w:szCs w:val="24"/>
        </w:rPr>
      </w:pPr>
    </w:p>
    <w:p w:rsidR="009825DA" w:rsidRPr="009825DA" w:rsidRDefault="009825DA" w:rsidP="009303F8">
      <w:pPr>
        <w:pStyle w:val="ad"/>
        <w:numPr>
          <w:ilvl w:val="0"/>
          <w:numId w:val="1"/>
        </w:numPr>
        <w:spacing w:after="0" w:line="360" w:lineRule="auto"/>
        <w:jc w:val="both"/>
        <w:rPr>
          <w:rFonts w:ascii="David" w:hAnsi="David" w:cs="David"/>
          <w:noProof/>
          <w:sz w:val="24"/>
          <w:szCs w:val="24"/>
        </w:rPr>
      </w:pPr>
      <w:r w:rsidRPr="009825DA">
        <w:rPr>
          <w:rFonts w:ascii="David" w:hAnsi="David" w:cs="David"/>
          <w:noProof/>
          <w:sz w:val="24"/>
          <w:szCs w:val="24"/>
          <w:rtl/>
        </w:rPr>
        <w:t xml:space="preserve">כך ובנוסף </w:t>
      </w:r>
      <w:r w:rsidRPr="009825DA">
        <w:rPr>
          <w:rFonts w:ascii="David" w:hAnsi="David" w:cs="David" w:hint="cs"/>
          <w:noProof/>
          <w:sz w:val="24"/>
          <w:szCs w:val="24"/>
          <w:rtl/>
        </w:rPr>
        <w:t xml:space="preserve">, </w:t>
      </w:r>
      <w:r w:rsidRPr="009825DA">
        <w:rPr>
          <w:rFonts w:ascii="David" w:hAnsi="David" w:cs="David"/>
          <w:noProof/>
          <w:sz w:val="24"/>
          <w:szCs w:val="24"/>
          <w:rtl/>
        </w:rPr>
        <w:t>הגם מחלוקת שהתעוררה בקשר עם איזון</w:t>
      </w:r>
      <w:r w:rsidR="009303F8">
        <w:rPr>
          <w:rFonts w:ascii="David" w:hAnsi="David" w:cs="David"/>
          <w:noProof/>
          <w:sz w:val="24"/>
          <w:szCs w:val="24"/>
          <w:rtl/>
        </w:rPr>
        <w:t xml:space="preserve"> הזכויות בתמורת מכר הרכב המשותף</w:t>
      </w:r>
      <w:r w:rsidR="009303F8">
        <w:rPr>
          <w:rFonts w:ascii="David" w:hAnsi="David" w:cs="David" w:hint="cs"/>
          <w:noProof/>
          <w:sz w:val="24"/>
          <w:szCs w:val="24"/>
          <w:rtl/>
        </w:rPr>
        <w:t xml:space="preserve">, </w:t>
      </w:r>
      <w:r w:rsidRPr="009825DA">
        <w:rPr>
          <w:rFonts w:ascii="David" w:hAnsi="David" w:cs="David"/>
          <w:noProof/>
          <w:sz w:val="24"/>
          <w:szCs w:val="24"/>
          <w:rtl/>
        </w:rPr>
        <w:t xml:space="preserve">הובהר בסיכומי הנתבע כי </w:t>
      </w:r>
      <w:r w:rsidR="001E1C4C">
        <w:rPr>
          <w:rFonts w:ascii="David" w:hAnsi="David" w:cs="David" w:hint="cs"/>
          <w:noProof/>
          <w:sz w:val="24"/>
          <w:szCs w:val="24"/>
          <w:rtl/>
        </w:rPr>
        <w:t>הוא מכיר ב</w:t>
      </w:r>
      <w:r w:rsidRPr="009825DA">
        <w:rPr>
          <w:rFonts w:ascii="David" w:hAnsi="David" w:cs="David"/>
          <w:noProof/>
          <w:sz w:val="24"/>
          <w:szCs w:val="24"/>
          <w:rtl/>
        </w:rPr>
        <w:t>זכותה של התובעת לקבל ממנו מחצית שווי הרכב כפי ערכו במועד הקרע בהתאם למחירון "יצחק לוי".</w:t>
      </w:r>
    </w:p>
    <w:p w:rsidR="009825DA" w:rsidRDefault="009825DA" w:rsidP="009825DA">
      <w:pPr>
        <w:pStyle w:val="ad"/>
        <w:spacing w:line="360" w:lineRule="auto"/>
        <w:ind w:left="360"/>
        <w:jc w:val="both"/>
        <w:rPr>
          <w:rFonts w:ascii="David" w:hAnsi="David" w:cs="David"/>
          <w:noProof/>
          <w:sz w:val="24"/>
          <w:szCs w:val="24"/>
        </w:rPr>
      </w:pPr>
    </w:p>
    <w:p w:rsidR="004127E0" w:rsidRDefault="004127E0" w:rsidP="004127E0">
      <w:pPr>
        <w:pStyle w:val="ad"/>
        <w:numPr>
          <w:ilvl w:val="0"/>
          <w:numId w:val="1"/>
        </w:numPr>
        <w:spacing w:line="360" w:lineRule="auto"/>
        <w:jc w:val="both"/>
        <w:rPr>
          <w:rFonts w:ascii="David" w:hAnsi="David" w:cs="David"/>
          <w:noProof/>
          <w:sz w:val="24"/>
          <w:szCs w:val="24"/>
          <w:rtl/>
        </w:rPr>
      </w:pPr>
      <w:r>
        <w:rPr>
          <w:rFonts w:ascii="David" w:hAnsi="David" w:cs="David"/>
          <w:noProof/>
          <w:sz w:val="24"/>
          <w:szCs w:val="24"/>
          <w:rtl/>
        </w:rPr>
        <w:t xml:space="preserve">הצדדים נותרו חלוקים בסוגיות הבאות: </w:t>
      </w:r>
    </w:p>
    <w:p w:rsidR="004127E0" w:rsidRDefault="004127E0" w:rsidP="009303F8">
      <w:pPr>
        <w:pStyle w:val="ad"/>
        <w:numPr>
          <w:ilvl w:val="0"/>
          <w:numId w:val="2"/>
        </w:numPr>
        <w:spacing w:line="360" w:lineRule="auto"/>
        <w:jc w:val="both"/>
        <w:rPr>
          <w:rFonts w:ascii="David" w:hAnsi="David" w:cs="David"/>
          <w:b/>
          <w:bCs/>
          <w:sz w:val="24"/>
          <w:szCs w:val="24"/>
        </w:rPr>
      </w:pPr>
      <w:r>
        <w:rPr>
          <w:rFonts w:ascii="David" w:hAnsi="David" w:cs="David"/>
          <w:sz w:val="24"/>
          <w:szCs w:val="24"/>
          <w:rtl/>
        </w:rPr>
        <w:t xml:space="preserve">טענות התובעת בקשר לכוונת </w:t>
      </w:r>
      <w:r w:rsidR="001E1C4C">
        <w:rPr>
          <w:rFonts w:ascii="David" w:hAnsi="David" w:cs="David"/>
          <w:sz w:val="24"/>
          <w:szCs w:val="24"/>
          <w:rtl/>
        </w:rPr>
        <w:t>שיתוף ספציפי בדירה ש</w:t>
      </w:r>
      <w:r w:rsidR="001E1C4C">
        <w:rPr>
          <w:rFonts w:ascii="David" w:hAnsi="David" w:cs="David" w:hint="cs"/>
          <w:sz w:val="24"/>
          <w:szCs w:val="24"/>
          <w:rtl/>
        </w:rPr>
        <w:t>הועברה על שם הנתבע במתנה מאמו ו</w:t>
      </w:r>
      <w:r>
        <w:rPr>
          <w:rFonts w:ascii="David" w:hAnsi="David" w:cs="David"/>
          <w:sz w:val="24"/>
          <w:szCs w:val="24"/>
          <w:rtl/>
        </w:rPr>
        <w:t xml:space="preserve">המצויה ברח' </w:t>
      </w:r>
      <w:r w:rsidR="009303F8">
        <w:rPr>
          <w:rFonts w:ascii="David" w:hAnsi="David" w:cs="David"/>
          <w:sz w:val="24"/>
          <w:szCs w:val="24"/>
        </w:rPr>
        <w:t>***</w:t>
      </w:r>
      <w:r>
        <w:rPr>
          <w:rFonts w:ascii="David" w:hAnsi="David" w:cs="David"/>
          <w:sz w:val="24"/>
          <w:szCs w:val="24"/>
          <w:rtl/>
        </w:rPr>
        <w:t xml:space="preserve"> , הידועה גם כ</w:t>
      </w:r>
      <w:r w:rsidR="005A2658">
        <w:rPr>
          <w:rFonts w:ascii="David" w:hAnsi="David" w:cs="David" w:hint="cs"/>
          <w:sz w:val="24"/>
          <w:szCs w:val="24"/>
          <w:rtl/>
        </w:rPr>
        <w:t xml:space="preserve">גוש </w:t>
      </w:r>
      <w:r w:rsidR="009303F8">
        <w:rPr>
          <w:rFonts w:ascii="David" w:hAnsi="David" w:cs="David"/>
          <w:sz w:val="24"/>
          <w:szCs w:val="24"/>
        </w:rPr>
        <w:t>***</w:t>
      </w:r>
      <w:r w:rsidR="005A2658">
        <w:rPr>
          <w:rFonts w:ascii="David" w:hAnsi="David" w:cs="David"/>
          <w:sz w:val="24"/>
          <w:szCs w:val="24"/>
        </w:rPr>
        <w:t xml:space="preserve"> </w:t>
      </w:r>
      <w:r w:rsidR="005A2658">
        <w:rPr>
          <w:rFonts w:ascii="David" w:hAnsi="David" w:cs="David" w:hint="cs"/>
          <w:sz w:val="24"/>
          <w:szCs w:val="24"/>
          <w:rtl/>
        </w:rPr>
        <w:t xml:space="preserve"> חלקה </w:t>
      </w:r>
      <w:r w:rsidR="009303F8">
        <w:rPr>
          <w:rFonts w:ascii="David" w:hAnsi="David" w:cs="David"/>
          <w:sz w:val="24"/>
          <w:szCs w:val="24"/>
        </w:rPr>
        <w:t>***</w:t>
      </w:r>
      <w:r>
        <w:rPr>
          <w:rFonts w:ascii="David" w:hAnsi="David" w:cs="David"/>
          <w:sz w:val="24"/>
          <w:szCs w:val="24"/>
          <w:rtl/>
        </w:rPr>
        <w:t>.</w:t>
      </w:r>
      <w:r>
        <w:rPr>
          <w:rFonts w:ascii="David" w:hAnsi="David" w:cs="David"/>
          <w:b/>
          <w:bCs/>
          <w:sz w:val="24"/>
          <w:szCs w:val="24"/>
          <w:rtl/>
        </w:rPr>
        <w:t xml:space="preserve"> (להלן: "הדירה")</w:t>
      </w:r>
    </w:p>
    <w:p w:rsidR="004127E0" w:rsidRDefault="004127E0" w:rsidP="001E1C4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עתירת התובעת לחיוב הנתבע בתשלום דמי שימוש ראויים בגין </w:t>
      </w:r>
      <w:r w:rsidR="001E1C4C">
        <w:rPr>
          <w:rFonts w:ascii="David" w:hAnsi="David" w:cs="David" w:hint="cs"/>
          <w:sz w:val="24"/>
          <w:szCs w:val="24"/>
          <w:rtl/>
        </w:rPr>
        <w:t xml:space="preserve">הבית </w:t>
      </w:r>
      <w:r>
        <w:rPr>
          <w:rFonts w:ascii="David" w:hAnsi="David" w:cs="David"/>
          <w:sz w:val="24"/>
          <w:szCs w:val="24"/>
          <w:rtl/>
        </w:rPr>
        <w:t>המשותף לתקופה שמחודש 9/20 (מועד יציאתה מהבית) ועד לחודש 6/21 (מועד מכירת הנכס).</w:t>
      </w:r>
    </w:p>
    <w:p w:rsidR="004127E0" w:rsidRDefault="004127E0" w:rsidP="009303F8">
      <w:pPr>
        <w:pStyle w:val="ad"/>
        <w:numPr>
          <w:ilvl w:val="0"/>
          <w:numId w:val="2"/>
        </w:numPr>
        <w:spacing w:line="360" w:lineRule="auto"/>
        <w:jc w:val="both"/>
        <w:rPr>
          <w:rFonts w:ascii="David" w:hAnsi="David" w:cs="David"/>
          <w:noProof/>
          <w:sz w:val="24"/>
          <w:szCs w:val="24"/>
        </w:rPr>
      </w:pPr>
      <w:r>
        <w:rPr>
          <w:rFonts w:ascii="David" w:hAnsi="David" w:cs="David"/>
          <w:sz w:val="24"/>
          <w:szCs w:val="24"/>
          <w:rtl/>
        </w:rPr>
        <w:t>עתירת התובעת</w:t>
      </w:r>
      <w:r>
        <w:rPr>
          <w:rFonts w:ascii="David" w:hAnsi="David" w:cs="David"/>
          <w:noProof/>
          <w:sz w:val="24"/>
          <w:szCs w:val="24"/>
          <w:rtl/>
        </w:rPr>
        <w:t xml:space="preserve"> להשלמת דוח האקטואר ביחס לחישוב זכויותיו של הנתבע במקום עבודתו ב"</w:t>
      </w:r>
      <w:r w:rsidR="007F32C9" w:rsidRPr="007F32C9">
        <w:rPr>
          <w:rFonts w:ascii="David" w:hAnsi="David" w:cs="David"/>
          <w:noProof/>
          <w:sz w:val="24"/>
          <w:szCs w:val="24"/>
        </w:rPr>
        <w:t xml:space="preserve"> </w:t>
      </w:r>
      <w:r w:rsidR="009303F8">
        <w:rPr>
          <w:rFonts w:ascii="David" w:hAnsi="David" w:cs="David"/>
          <w:noProof/>
          <w:sz w:val="24"/>
          <w:szCs w:val="24"/>
        </w:rPr>
        <w:t>***</w:t>
      </w:r>
      <w:r>
        <w:rPr>
          <w:rFonts w:ascii="David" w:hAnsi="David" w:cs="David"/>
          <w:noProof/>
          <w:sz w:val="24"/>
          <w:szCs w:val="24"/>
          <w:rtl/>
        </w:rPr>
        <w:t>" משנת 2011 ועד שנת 2016.</w:t>
      </w:r>
    </w:p>
    <w:p w:rsidR="004127E0" w:rsidRDefault="004127E0" w:rsidP="004127E0">
      <w:pPr>
        <w:pStyle w:val="ad"/>
        <w:spacing w:line="360" w:lineRule="auto"/>
        <w:jc w:val="both"/>
        <w:rPr>
          <w:rFonts w:ascii="David" w:hAnsi="David" w:cs="David"/>
          <w:sz w:val="24"/>
          <w:szCs w:val="24"/>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להשלמת התמונה יוער</w:t>
      </w:r>
      <w:r w:rsidR="001E1C4C">
        <w:rPr>
          <w:rFonts w:ascii="David" w:hAnsi="David" w:cs="David" w:hint="cs"/>
          <w:sz w:val="24"/>
          <w:szCs w:val="24"/>
          <w:rtl/>
        </w:rPr>
        <w:t>,</w:t>
      </w:r>
      <w:r>
        <w:rPr>
          <w:rFonts w:ascii="David" w:hAnsi="David" w:cs="David"/>
          <w:sz w:val="24"/>
          <w:szCs w:val="24"/>
          <w:rtl/>
        </w:rPr>
        <w:t xml:space="preserve"> כי עתירת התובעת לחלוקה ואיזון לא שוויוני בגין פערי שכר נזנחה בסיכומיה וממילא לא בוארה כנדרש במסגרת כתבי הטענות ועל כן אין להידרש לה.</w:t>
      </w:r>
    </w:p>
    <w:p w:rsidR="004127E0" w:rsidRDefault="004127E0" w:rsidP="004127E0">
      <w:pPr>
        <w:pStyle w:val="ad"/>
        <w:spacing w:line="360" w:lineRule="auto"/>
        <w:ind w:left="360"/>
        <w:jc w:val="both"/>
        <w:rPr>
          <w:rFonts w:ascii="David" w:hAnsi="David" w:cs="David"/>
          <w:noProof/>
          <w:sz w:val="24"/>
          <w:szCs w:val="24"/>
        </w:rPr>
      </w:pPr>
    </w:p>
    <w:p w:rsidR="004127E0" w:rsidRDefault="004127E0" w:rsidP="004127E0">
      <w:pPr>
        <w:pStyle w:val="ad"/>
        <w:numPr>
          <w:ilvl w:val="0"/>
          <w:numId w:val="1"/>
        </w:numPr>
        <w:spacing w:line="360" w:lineRule="auto"/>
        <w:jc w:val="both"/>
        <w:rPr>
          <w:rFonts w:ascii="David" w:hAnsi="David" w:cs="David"/>
          <w:sz w:val="24"/>
          <w:szCs w:val="24"/>
        </w:rPr>
      </w:pPr>
      <w:r>
        <w:rPr>
          <w:rFonts w:ascii="David" w:hAnsi="David" w:cs="David"/>
          <w:noProof/>
          <w:sz w:val="24"/>
          <w:szCs w:val="24"/>
          <w:rtl/>
        </w:rPr>
        <w:t>דיון הוכחות התקיים ביום 30.1.2023 במסגרתו נשמעו עדויות הצדדים. משהוגשו סיכומי הצדדים לרבות סיכומי תשובה יש להידרש להכרעה.</w:t>
      </w:r>
    </w:p>
    <w:p w:rsidR="004127E0" w:rsidRDefault="004127E0" w:rsidP="004127E0">
      <w:pPr>
        <w:pStyle w:val="ad"/>
        <w:rPr>
          <w:rFonts w:ascii="David" w:hAnsi="David" w:cs="David"/>
          <w:sz w:val="24"/>
          <w:szCs w:val="24"/>
        </w:rPr>
      </w:pPr>
    </w:p>
    <w:p w:rsidR="004127E0" w:rsidRDefault="004127E0" w:rsidP="009303F8">
      <w:pPr>
        <w:pStyle w:val="ad"/>
        <w:spacing w:line="360" w:lineRule="auto"/>
        <w:ind w:left="360" w:hanging="360"/>
        <w:jc w:val="both"/>
        <w:rPr>
          <w:rFonts w:ascii="David" w:hAnsi="David" w:cs="David"/>
          <w:b/>
          <w:bCs/>
          <w:sz w:val="24"/>
          <w:szCs w:val="24"/>
          <w:u w:val="single"/>
          <w:rtl/>
        </w:rPr>
      </w:pPr>
      <w:r>
        <w:rPr>
          <w:rFonts w:ascii="David" w:hAnsi="David" w:cs="David"/>
          <w:b/>
          <w:bCs/>
          <w:sz w:val="24"/>
          <w:szCs w:val="24"/>
          <w:u w:val="single"/>
          <w:rtl/>
        </w:rPr>
        <w:t xml:space="preserve">דירה ברח' </w:t>
      </w:r>
      <w:r w:rsidR="009303F8">
        <w:rPr>
          <w:rFonts w:ascii="David" w:hAnsi="David" w:cs="David"/>
          <w:b/>
          <w:bCs/>
          <w:sz w:val="24"/>
          <w:szCs w:val="24"/>
          <w:u w:val="single"/>
        </w:rPr>
        <w:t>****</w:t>
      </w:r>
    </w:p>
    <w:p w:rsidR="004127E0" w:rsidRDefault="004127E0" w:rsidP="004127E0">
      <w:pPr>
        <w:pStyle w:val="ad"/>
        <w:spacing w:line="360" w:lineRule="auto"/>
        <w:ind w:left="360" w:hanging="360"/>
        <w:jc w:val="both"/>
        <w:rPr>
          <w:rFonts w:ascii="David" w:hAnsi="David" w:cs="David"/>
          <w:b/>
          <w:bCs/>
          <w:sz w:val="24"/>
          <w:szCs w:val="24"/>
          <w:u w:val="single"/>
          <w:rtl/>
        </w:rPr>
      </w:pPr>
      <w:r>
        <w:rPr>
          <w:rFonts w:ascii="David" w:hAnsi="David" w:cs="David"/>
          <w:b/>
          <w:bCs/>
          <w:sz w:val="24"/>
          <w:szCs w:val="24"/>
          <w:u w:val="single"/>
          <w:rtl/>
        </w:rPr>
        <w:t>טענות הצדדים בתמצית</w:t>
      </w:r>
    </w:p>
    <w:p w:rsidR="001E65F2" w:rsidRDefault="001E65F2" w:rsidP="004127E0">
      <w:pPr>
        <w:pStyle w:val="ad"/>
        <w:spacing w:line="360" w:lineRule="auto"/>
        <w:ind w:left="360" w:hanging="360"/>
        <w:jc w:val="both"/>
        <w:rPr>
          <w:rFonts w:ascii="David" w:hAnsi="David" w:cs="David"/>
          <w:b/>
          <w:bCs/>
          <w:sz w:val="24"/>
          <w:szCs w:val="24"/>
          <w:u w:val="single"/>
          <w:rtl/>
        </w:rPr>
      </w:pPr>
    </w:p>
    <w:p w:rsidR="004127E0" w:rsidRDefault="004127E0" w:rsidP="004A4522">
      <w:pPr>
        <w:pStyle w:val="ad"/>
        <w:numPr>
          <w:ilvl w:val="0"/>
          <w:numId w:val="1"/>
        </w:numPr>
        <w:spacing w:line="360" w:lineRule="auto"/>
        <w:jc w:val="both"/>
        <w:rPr>
          <w:rFonts w:ascii="David" w:hAnsi="David" w:cs="David"/>
          <w:sz w:val="24"/>
          <w:szCs w:val="24"/>
          <w:rtl/>
        </w:rPr>
      </w:pPr>
      <w:r>
        <w:rPr>
          <w:rFonts w:ascii="David" w:hAnsi="David" w:cs="David"/>
          <w:sz w:val="24"/>
          <w:szCs w:val="24"/>
          <w:u w:val="single"/>
          <w:rtl/>
        </w:rPr>
        <w:t>לטענת התובעת</w:t>
      </w:r>
      <w:r>
        <w:rPr>
          <w:rFonts w:ascii="David" w:hAnsi="David" w:cs="David"/>
          <w:sz w:val="24"/>
          <w:szCs w:val="24"/>
          <w:rtl/>
        </w:rPr>
        <w:t xml:space="preserve"> מצבה הכלכלי של אם הנתבע היה בכי רע ועל כן, הצדדים נכנסו בנעליה ונשאו בתשלומי המשכנתא מחשבונם המשותף עוד מתחילת חייהם המשותפים, כן בתשלומים  נוספים </w:t>
      </w:r>
      <w:r w:rsidR="001E1C4C">
        <w:rPr>
          <w:rFonts w:ascii="David" w:hAnsi="David" w:cs="David" w:hint="cs"/>
          <w:sz w:val="24"/>
          <w:szCs w:val="24"/>
          <w:rtl/>
        </w:rPr>
        <w:t xml:space="preserve">לרשויות </w:t>
      </w:r>
      <w:r>
        <w:rPr>
          <w:rFonts w:ascii="David" w:hAnsi="David" w:cs="David"/>
          <w:sz w:val="24"/>
          <w:szCs w:val="24"/>
          <w:rtl/>
        </w:rPr>
        <w:t xml:space="preserve">כדוגמת מנהל מקרקעי ישראל, הכול מתוך ציפייה וידיעה שעם תום תשלומי המשכנתא הדירה תעבור לבעלותם. הסכם המתנה הוסתר על ידי הנתבע אך יש בו להעיד על כוונת האם המנוחה להחריג </w:t>
      </w:r>
      <w:r w:rsidR="004A4522">
        <w:rPr>
          <w:rFonts w:ascii="David" w:hAnsi="David" w:cs="David" w:hint="cs"/>
          <w:sz w:val="24"/>
          <w:szCs w:val="24"/>
          <w:rtl/>
        </w:rPr>
        <w:t xml:space="preserve">את </w:t>
      </w:r>
      <w:r w:rsidR="001E1C4C">
        <w:rPr>
          <w:rFonts w:ascii="David" w:hAnsi="David" w:cs="David" w:hint="cs"/>
          <w:sz w:val="24"/>
          <w:szCs w:val="24"/>
          <w:rtl/>
        </w:rPr>
        <w:t>הדירה</w:t>
      </w:r>
      <w:r>
        <w:rPr>
          <w:rFonts w:ascii="David" w:hAnsi="David" w:cs="David"/>
          <w:sz w:val="24"/>
          <w:szCs w:val="24"/>
          <w:rtl/>
        </w:rPr>
        <w:t xml:space="preserve"> ממסת נכסי העיזבון מתוך ידיעה כי ה</w:t>
      </w:r>
      <w:r w:rsidR="004A4522">
        <w:rPr>
          <w:rFonts w:ascii="David" w:hAnsi="David" w:cs="David" w:hint="cs"/>
          <w:sz w:val="24"/>
          <w:szCs w:val="24"/>
          <w:rtl/>
        </w:rPr>
        <w:t xml:space="preserve">דירה שייכת </w:t>
      </w:r>
      <w:r>
        <w:rPr>
          <w:rFonts w:ascii="David" w:hAnsi="David" w:cs="David"/>
          <w:sz w:val="24"/>
          <w:szCs w:val="24"/>
          <w:rtl/>
        </w:rPr>
        <w:t xml:space="preserve">לצדדים לאחר שנשאו בתשלומים רבים בגינה. </w:t>
      </w:r>
    </w:p>
    <w:p w:rsidR="004127E0" w:rsidRDefault="004127E0" w:rsidP="004127E0">
      <w:pPr>
        <w:pStyle w:val="ad"/>
        <w:spacing w:line="360" w:lineRule="auto"/>
        <w:ind w:left="360"/>
        <w:jc w:val="both"/>
        <w:rPr>
          <w:rFonts w:ascii="David" w:hAnsi="David" w:cs="David"/>
          <w:sz w:val="24"/>
          <w:szCs w:val="24"/>
        </w:rPr>
      </w:pPr>
      <w:r>
        <w:rPr>
          <w:rFonts w:ascii="David" w:hAnsi="David" w:cs="David"/>
          <w:sz w:val="24"/>
          <w:szCs w:val="24"/>
          <w:rtl/>
        </w:rPr>
        <w:t>משך השנים הדירה עברה שיפוץ מסיבי שכלל הרחבה,  החלפת מטבח, שיפוץ שירותים ומקלחת, התקנת פרגולה בחצר, החלפת הגג ועוד.  השיפוץ שולם מכספם המשותף של הצדדים. התובעת אף העבירה לדירה ריהוט יקר ערך שקיבלה בירושה מאמה המנוחה.</w:t>
      </w:r>
    </w:p>
    <w:p w:rsidR="004127E0" w:rsidRDefault="004127E0" w:rsidP="004127E0">
      <w:pPr>
        <w:pStyle w:val="ad"/>
        <w:spacing w:line="360" w:lineRule="auto"/>
        <w:ind w:left="360"/>
        <w:jc w:val="both"/>
        <w:rPr>
          <w:rFonts w:ascii="David" w:hAnsi="David" w:cs="David"/>
          <w:sz w:val="24"/>
          <w:szCs w:val="24"/>
        </w:rPr>
      </w:pPr>
      <w:r>
        <w:rPr>
          <w:rFonts w:ascii="David" w:hAnsi="David" w:cs="David"/>
          <w:sz w:val="24"/>
          <w:szCs w:val="24"/>
          <w:rtl/>
        </w:rPr>
        <w:t>התובעת עותרת להצהיר ולקבוע כי לה זכויות במחצית הדירה לחילופין, מבקשת להשיב לה לכל הפחות כספי ההשקעה בדירה לרבות מחצית תשלומי המשכנתא ששולמו במשך החיים המשותפים.</w:t>
      </w:r>
    </w:p>
    <w:p w:rsidR="004127E0" w:rsidRDefault="004127E0" w:rsidP="004127E0">
      <w:pPr>
        <w:pStyle w:val="ad"/>
        <w:spacing w:line="360" w:lineRule="auto"/>
        <w:ind w:left="360"/>
        <w:jc w:val="both"/>
        <w:rPr>
          <w:rFonts w:ascii="David" w:hAnsi="David" w:cs="David"/>
          <w:sz w:val="24"/>
          <w:szCs w:val="24"/>
          <w:rtl/>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u w:val="single"/>
          <w:rtl/>
        </w:rPr>
        <w:t>לטענת הנתבע</w:t>
      </w:r>
      <w:r>
        <w:rPr>
          <w:rFonts w:ascii="David" w:hAnsi="David" w:cs="David"/>
          <w:sz w:val="24"/>
          <w:szCs w:val="24"/>
          <w:rtl/>
        </w:rPr>
        <w:t xml:space="preserve">  המדובר בדירה שנרכשה על ידי אמו ז"ל ונותרה בבעלותה המלאה עד שנת 2010 אז מצאה לנכון להעבירה לידיו במתנה. אין לראות בדירה כנכס המשותף לצדדים.</w:t>
      </w:r>
    </w:p>
    <w:p w:rsidR="004127E0" w:rsidRDefault="004127E0" w:rsidP="009303F8">
      <w:pPr>
        <w:pStyle w:val="ad"/>
        <w:spacing w:line="360" w:lineRule="auto"/>
        <w:ind w:left="360"/>
        <w:jc w:val="both"/>
        <w:rPr>
          <w:rFonts w:ascii="David" w:hAnsi="David" w:cs="David"/>
          <w:sz w:val="24"/>
          <w:szCs w:val="24"/>
        </w:rPr>
      </w:pPr>
      <w:r>
        <w:rPr>
          <w:rFonts w:ascii="David" w:hAnsi="David" w:cs="David"/>
          <w:sz w:val="24"/>
          <w:szCs w:val="24"/>
          <w:rtl/>
        </w:rPr>
        <w:t>כל הסכומים ששולמו עבור הדירה שולמו על ידי האם. הנתבע נשא בתשלומי המשכנתא החל משנת 2004/2005. מדובר בסכומים נמוכים מאוד העומדים על כ- 300 ₪ לחודש אשר הוחזרו לו על ידי אמו במזומן. התשלומים האמורים יצאו מחשבון משותף אך בפועל, רק הכנסותיו שלו הופקדו לחשבון זה והכנסות התובעת הוכנסו לחשבון אשר רשום על שמה בלבד. בשנת 2010 האם ז"ל בחרה להעביר לו את הדירה במתנה כבן זקונים כהוקרה על הסיוע והעזרה שהעניק לה והדבר אף היה מוסכם על ידי אחיו. הדירה לא עברה שיפוץ מאסיבי אלא תיקון מזערי שנדרש לטובת הכשרתה למגורי בנם המשותף של הצדדים. אין בטענת התובעת ביחס לאבזור וריהוט הדירה כל ממש שכן בפועל העבירה מס' מטלטלין ישנים שקיבלה בירושה אותם נאלצה ממילא  לפנות מדירת אמה המנוחה .</w:t>
      </w:r>
    </w:p>
    <w:p w:rsidR="004127E0" w:rsidRDefault="004127E0" w:rsidP="004127E0">
      <w:pPr>
        <w:spacing w:line="360" w:lineRule="auto"/>
        <w:jc w:val="both"/>
        <w:rPr>
          <w:rFonts w:ascii="David" w:hAnsi="David"/>
          <w:b/>
          <w:bCs/>
          <w:u w:val="single"/>
          <w:rtl/>
        </w:rPr>
      </w:pPr>
      <w:r>
        <w:rPr>
          <w:rFonts w:ascii="David" w:hAnsi="David"/>
          <w:b/>
          <w:bCs/>
          <w:u w:val="single"/>
          <w:rtl/>
        </w:rPr>
        <w:t xml:space="preserve">דיון והכרעה </w:t>
      </w:r>
    </w:p>
    <w:p w:rsidR="004127E0" w:rsidRDefault="004127E0" w:rsidP="004127E0">
      <w:pPr>
        <w:spacing w:line="360" w:lineRule="auto"/>
        <w:jc w:val="both"/>
        <w:rPr>
          <w:rFonts w:ascii="David" w:hAnsi="David"/>
          <w:b/>
          <w:bCs/>
          <w:u w:val="single"/>
          <w:rtl/>
        </w:rPr>
      </w:pPr>
    </w:p>
    <w:p w:rsidR="004127E0" w:rsidRDefault="004127E0" w:rsidP="009303F8">
      <w:pPr>
        <w:pStyle w:val="ad"/>
        <w:numPr>
          <w:ilvl w:val="0"/>
          <w:numId w:val="1"/>
        </w:numPr>
        <w:spacing w:line="360" w:lineRule="auto"/>
        <w:jc w:val="both"/>
        <w:rPr>
          <w:rFonts w:ascii="David" w:hAnsi="David" w:cs="David"/>
          <w:sz w:val="24"/>
          <w:szCs w:val="24"/>
        </w:rPr>
      </w:pPr>
      <w:r>
        <w:rPr>
          <w:rFonts w:ascii="David" w:hAnsi="David" w:cs="David"/>
          <w:sz w:val="24"/>
          <w:szCs w:val="24"/>
          <w:rtl/>
        </w:rPr>
        <w:t>הצדדים נישאו כאמור בשנת 1984 ומשכך חל בעניינם חוק יחסי ממון בין בני זוג, התשל"ג – 1973 (להלן:"</w:t>
      </w:r>
      <w:r>
        <w:rPr>
          <w:rFonts w:ascii="David" w:hAnsi="David" w:cs="David"/>
          <w:b/>
          <w:bCs/>
          <w:sz w:val="24"/>
          <w:szCs w:val="24"/>
          <w:rtl/>
        </w:rPr>
        <w:t>החוק</w:t>
      </w:r>
      <w:r>
        <w:rPr>
          <w:rFonts w:ascii="David" w:hAnsi="David" w:cs="David"/>
          <w:sz w:val="24"/>
          <w:szCs w:val="24"/>
          <w:rtl/>
        </w:rPr>
        <w:t>"), הצדדים לא ערכו בניהם הסכם ממון ומכאן שחל עליהם הסדר "איזון המשאבים" הקבוע בסעיף 5 לחוק.</w:t>
      </w:r>
    </w:p>
    <w:p w:rsidR="004127E0" w:rsidRDefault="004127E0" w:rsidP="004127E0">
      <w:pPr>
        <w:pStyle w:val="ad"/>
        <w:spacing w:line="360" w:lineRule="auto"/>
        <w:ind w:left="360"/>
        <w:jc w:val="both"/>
        <w:rPr>
          <w:rFonts w:ascii="David" w:hAnsi="David" w:cs="David"/>
          <w:sz w:val="24"/>
          <w:szCs w:val="24"/>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סעיף 5(א)(1) לחוק מבחין בין נכסים שנצברו במהלך הנישואים, הכלולים באיזון המשאבים והמכונים "נכסי המאמץ המשותף" לבין נכסים מלפני הנישואים, מתנות וירושות, שאינם ברי - איזון ומכונים "נכסים חיצוניים". על פי סעיף 5(א)(2) לחוק, נכסים שהתקבלו במתנה או בירושה בתקופת הנישואים, מוחרגים מהאיזון, שכן הם אינם פרי מאמץ משותף ולכן אין לראותם כתוצר של שותפות משפחתית, אלא כנכסים פרטיים או חיצוניים.</w:t>
      </w:r>
    </w:p>
    <w:p w:rsidR="004127E0" w:rsidRDefault="004127E0" w:rsidP="004127E0">
      <w:pPr>
        <w:spacing w:line="360" w:lineRule="auto"/>
        <w:ind w:left="425" w:hanging="720"/>
        <w:jc w:val="both"/>
        <w:rPr>
          <w:rFonts w:ascii="David" w:hAnsi="David"/>
          <w:b/>
          <w:bCs/>
          <w:rtl/>
        </w:rPr>
      </w:pPr>
      <w:r>
        <w:rPr>
          <w:rFonts w:ascii="David" w:hAnsi="David"/>
          <w:rtl/>
        </w:rPr>
        <w:tab/>
        <w:t xml:space="preserve">עם זאת בשורה של פסקי דין נקבעה ההלכה כי אין בהוראות חוק יחסי ממון כדי למנוע מבעל דין לא רשום להוכיח זכויותיו בנכס חיצוני מכוח  דוקטרינת </w:t>
      </w:r>
      <w:r>
        <w:rPr>
          <w:rFonts w:ascii="David" w:hAnsi="David"/>
          <w:b/>
          <w:bCs/>
          <w:rtl/>
        </w:rPr>
        <w:t>"כוונת השיתוף הספציפי"</w:t>
      </w:r>
      <w:r>
        <w:rPr>
          <w:rFonts w:ascii="David" w:hAnsi="David"/>
          <w:rtl/>
        </w:rPr>
        <w:t xml:space="preserve"> וזאת מכוח הדין הכללי – דיני חוזים, דיני קניין, דיני נאמנות וכיו"ב (</w:t>
      </w:r>
      <w:r>
        <w:rPr>
          <w:rFonts w:ascii="David" w:hAnsi="David"/>
          <w:b/>
          <w:bCs/>
          <w:rtl/>
        </w:rPr>
        <w:t>ר' ע"א 1915/91 יעקובי נ' יעקובי, פ"ד מט (3) 529 (1995), רע"א 8672/00 אבו רומי נ' אבו רומי, פ"ד נו (6) 175 (2002), ע"א ששון נ' ששון, פ"ד נט ( 5) 596, 614 ( 2005)).</w:t>
      </w:r>
    </w:p>
    <w:p w:rsidR="004127E0" w:rsidRDefault="004127E0" w:rsidP="004127E0">
      <w:pPr>
        <w:spacing w:line="360" w:lineRule="auto"/>
        <w:ind w:left="425" w:hanging="720"/>
        <w:jc w:val="both"/>
        <w:rPr>
          <w:rFonts w:ascii="David" w:hAnsi="David"/>
          <w:b/>
          <w:bCs/>
        </w:rPr>
      </w:pPr>
      <w:r>
        <w:rPr>
          <w:rFonts w:ascii="David" w:hAnsi="David"/>
          <w:rtl/>
        </w:rPr>
        <w:tab/>
        <w:t>עוד קבעה הפסיקה כי נטל ההוכחה בדבר דוקטרינת "כוונת שיתוף ספציפי" בנכס חיצוני , מוטל על הטוען לכוונת השיתוף, וכאשר כל מקרה יבחן על פי נסיבותיו ובהתאם למקרה הקונקרטי.</w:t>
      </w:r>
      <w:r>
        <w:rPr>
          <w:rFonts w:ascii="David" w:hAnsi="David"/>
          <w:b/>
          <w:bCs/>
          <w:rtl/>
        </w:rPr>
        <w:t xml:space="preserve"> (ר' בע"מ 5939/04 פ"ד נט (1) 665 (2004)).</w:t>
      </w:r>
    </w:p>
    <w:p w:rsidR="004127E0" w:rsidRDefault="004127E0" w:rsidP="004127E0">
      <w:pPr>
        <w:spacing w:line="360" w:lineRule="auto"/>
        <w:ind w:left="425" w:hanging="720"/>
        <w:jc w:val="both"/>
        <w:rPr>
          <w:rFonts w:ascii="David" w:hAnsi="David"/>
          <w:rtl/>
        </w:rPr>
      </w:pPr>
    </w:p>
    <w:p w:rsidR="004127E0" w:rsidRDefault="004127E0" w:rsidP="00F748E1">
      <w:pPr>
        <w:pStyle w:val="ad"/>
        <w:spacing w:line="360" w:lineRule="auto"/>
        <w:ind w:left="425"/>
        <w:rPr>
          <w:rFonts w:ascii="David" w:hAnsi="David" w:cs="David"/>
          <w:sz w:val="24"/>
          <w:szCs w:val="24"/>
          <w:rtl/>
        </w:rPr>
      </w:pPr>
      <w:r>
        <w:rPr>
          <w:rFonts w:ascii="David" w:hAnsi="David" w:cs="David"/>
          <w:sz w:val="24"/>
          <w:szCs w:val="24"/>
          <w:rtl/>
        </w:rPr>
        <w:t xml:space="preserve">השאלה אם הוכחה כוונת שיתוף ספציפית היא שאלה שבעובדה (ר' בע"מ 4545/09 פלוני נ' פלונית [פורסם בנבו]). הראיות בדבר כוונת שיתוף צריכות להיות ממשיות ובעלות משקל ולא די במשאלת לב ובציפייה של בן הזוג הלא-רשום. (ר' תמ"ש (י-ם) 62133-06-15 ח' ש' ס' נ' א' ס' [פורסם בנבו] (2017)). במקרים מסוימים, בהם יוכח קיומו של </w:t>
      </w:r>
      <w:r>
        <w:rPr>
          <w:rFonts w:ascii="David" w:hAnsi="David" w:cs="David"/>
          <w:sz w:val="24"/>
          <w:szCs w:val="24"/>
          <w:rtl/>
        </w:rPr>
        <w:tab/>
        <w:t xml:space="preserve">דבר מה </w:t>
      </w:r>
      <w:r>
        <w:rPr>
          <w:rFonts w:ascii="David" w:hAnsi="David" w:cs="David"/>
          <w:sz w:val="24"/>
          <w:szCs w:val="24"/>
          <w:rtl/>
        </w:rPr>
        <w:tab/>
        <w:t xml:space="preserve">נוסף ונסיבות נוספות בצד אורח חיים תקין, ייתכן ובית המשפט יקבע כי הנכס החיצוני הוא בר איזון (ר בע"מ 10734/06 </w:t>
      </w:r>
      <w:r>
        <w:rPr>
          <w:rFonts w:ascii="David" w:hAnsi="David" w:cs="David"/>
          <w:b/>
          <w:bCs/>
          <w:sz w:val="24"/>
          <w:szCs w:val="24"/>
          <w:rtl/>
        </w:rPr>
        <w:t>פלוני</w:t>
      </w:r>
      <w:r>
        <w:rPr>
          <w:rFonts w:ascii="David" w:hAnsi="David" w:cs="David"/>
          <w:b/>
          <w:bCs/>
          <w:color w:val="000000"/>
          <w:sz w:val="24"/>
          <w:szCs w:val="24"/>
          <w:shd w:val="clear" w:color="auto" w:fill="FFFFFF"/>
          <w:rtl/>
        </w:rPr>
        <w:t xml:space="preserve"> נ' פלונית</w:t>
      </w:r>
      <w:r>
        <w:rPr>
          <w:rFonts w:ascii="David" w:hAnsi="David" w:cs="David"/>
          <w:color w:val="000000"/>
          <w:sz w:val="24"/>
          <w:szCs w:val="24"/>
          <w:shd w:val="clear" w:color="auto" w:fill="FFFFFF"/>
          <w:rtl/>
        </w:rPr>
        <w:t> </w:t>
      </w:r>
      <w:r>
        <w:rPr>
          <w:rFonts w:ascii="David" w:hAnsi="David" w:cs="David"/>
          <w:color w:val="000000"/>
          <w:sz w:val="24"/>
          <w:szCs w:val="24"/>
          <w:shd w:val="clear" w:color="auto" w:fill="FFFFFF"/>
        </w:rPr>
        <w:t>]</w:t>
      </w:r>
      <w:r>
        <w:rPr>
          <w:rFonts w:ascii="David" w:hAnsi="David" w:cs="David"/>
          <w:color w:val="000000"/>
          <w:sz w:val="24"/>
          <w:szCs w:val="24"/>
          <w:shd w:val="clear" w:color="auto" w:fill="FFFFFF"/>
          <w:rtl/>
        </w:rPr>
        <w:t>פורסם בנבו]</w:t>
      </w:r>
      <w:r>
        <w:rPr>
          <w:rFonts w:ascii="David" w:hAnsi="David" w:cs="David"/>
          <w:color w:val="000000"/>
          <w:sz w:val="24"/>
          <w:szCs w:val="24"/>
          <w:shd w:val="clear" w:color="auto" w:fill="FFFFFF"/>
        </w:rPr>
        <w:t>(</w:t>
      </w:r>
    </w:p>
    <w:p w:rsidR="004127E0" w:rsidRDefault="004127E0" w:rsidP="004127E0">
      <w:pPr>
        <w:pStyle w:val="ad"/>
        <w:spacing w:line="360" w:lineRule="auto"/>
        <w:ind w:left="360"/>
        <w:rPr>
          <w:rFonts w:ascii="David" w:hAnsi="David" w:cs="David"/>
          <w:sz w:val="24"/>
          <w:szCs w:val="24"/>
          <w:rtl/>
        </w:rPr>
      </w:pPr>
    </w:p>
    <w:p w:rsidR="004127E0" w:rsidRDefault="004127E0" w:rsidP="00F748E1">
      <w:pPr>
        <w:pStyle w:val="ad"/>
        <w:numPr>
          <w:ilvl w:val="0"/>
          <w:numId w:val="1"/>
        </w:numPr>
        <w:spacing w:line="360" w:lineRule="auto"/>
        <w:rPr>
          <w:rFonts w:ascii="David" w:hAnsi="David" w:cs="David"/>
          <w:sz w:val="24"/>
          <w:szCs w:val="24"/>
          <w:rtl/>
        </w:rPr>
      </w:pPr>
      <w:r>
        <w:rPr>
          <w:rFonts w:ascii="David" w:hAnsi="David" w:cs="David"/>
          <w:sz w:val="24"/>
          <w:szCs w:val="24"/>
          <w:rtl/>
        </w:rPr>
        <w:t>בענייננו, התובעת מבקשת להכיר בזכויותיה בדירה שקיבל ה</w:t>
      </w:r>
      <w:r w:rsidR="00F748E1">
        <w:rPr>
          <w:rFonts w:ascii="David" w:hAnsi="David" w:cs="David" w:hint="cs"/>
          <w:sz w:val="24"/>
          <w:szCs w:val="24"/>
          <w:rtl/>
        </w:rPr>
        <w:t>נתבע</w:t>
      </w:r>
      <w:r>
        <w:rPr>
          <w:rFonts w:ascii="David" w:hAnsi="David" w:cs="David"/>
          <w:sz w:val="24"/>
          <w:szCs w:val="24"/>
          <w:rtl/>
        </w:rPr>
        <w:t xml:space="preserve"> במתנה, לכן רובץ עליה הנטל להוכיח לגביה כוונת שיתוף ספציפית, או להוכיח כי אותו רכוש נטמע ברכוש המשותף.</w:t>
      </w:r>
    </w:p>
    <w:p w:rsidR="004127E0" w:rsidRDefault="004127E0" w:rsidP="004127E0">
      <w:pPr>
        <w:pStyle w:val="ad"/>
        <w:spacing w:line="360" w:lineRule="auto"/>
        <w:ind w:left="360"/>
        <w:rPr>
          <w:rFonts w:ascii="David" w:hAnsi="David" w:cs="David"/>
          <w:sz w:val="24"/>
          <w:szCs w:val="24"/>
          <w:rtl/>
        </w:rPr>
      </w:pPr>
    </w:p>
    <w:p w:rsidR="004127E0" w:rsidRDefault="004127E0" w:rsidP="004127E0">
      <w:pPr>
        <w:pStyle w:val="ad"/>
        <w:spacing w:line="360" w:lineRule="auto"/>
        <w:ind w:left="360" w:hanging="360"/>
        <w:jc w:val="both"/>
        <w:rPr>
          <w:rFonts w:ascii="David" w:hAnsi="David" w:cs="David"/>
          <w:b/>
          <w:bCs/>
          <w:sz w:val="24"/>
          <w:szCs w:val="24"/>
          <w:u w:val="single"/>
          <w:rtl/>
        </w:rPr>
      </w:pPr>
      <w:r>
        <w:rPr>
          <w:rFonts w:ascii="David" w:hAnsi="David" w:cs="David"/>
          <w:b/>
          <w:bCs/>
          <w:sz w:val="24"/>
          <w:szCs w:val="24"/>
          <w:u w:val="single"/>
          <w:rtl/>
        </w:rPr>
        <w:t>מן הכלל אל הפרט</w:t>
      </w:r>
    </w:p>
    <w:p w:rsidR="004127E0" w:rsidRDefault="004127E0" w:rsidP="004127E0">
      <w:pPr>
        <w:pStyle w:val="ad"/>
        <w:spacing w:line="360" w:lineRule="auto"/>
        <w:ind w:left="360" w:hanging="360"/>
        <w:jc w:val="both"/>
        <w:rPr>
          <w:rFonts w:ascii="David" w:hAnsi="David" w:cs="David"/>
          <w:b/>
          <w:bCs/>
          <w:sz w:val="24"/>
          <w:szCs w:val="24"/>
          <w:u w:val="single"/>
          <w:rtl/>
        </w:rPr>
      </w:pPr>
    </w:p>
    <w:p w:rsidR="004127E0" w:rsidRDefault="004127E0" w:rsidP="009825DA">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שעיינתי בכלל המידע אשר הונח לפני ולאחר שמיעת עדויות הצדדים לא שוכנעתי כי אכן הוסכם בין הצדדים במפורש או מכלל</w:t>
      </w:r>
      <w:r w:rsidR="009825DA">
        <w:rPr>
          <w:rFonts w:ascii="David" w:hAnsi="David" w:cs="David" w:hint="cs"/>
          <w:sz w:val="24"/>
          <w:szCs w:val="24"/>
          <w:rtl/>
        </w:rPr>
        <w:t>א</w:t>
      </w:r>
      <w:r>
        <w:rPr>
          <w:rFonts w:ascii="David" w:hAnsi="David" w:cs="David"/>
          <w:sz w:val="24"/>
          <w:szCs w:val="24"/>
          <w:rtl/>
        </w:rPr>
        <w:t xml:space="preserve"> כי הדירה תהווה נכס משותף. </w:t>
      </w:r>
    </w:p>
    <w:p w:rsidR="004127E0" w:rsidRDefault="004127E0" w:rsidP="004127E0">
      <w:pPr>
        <w:pStyle w:val="ad"/>
        <w:spacing w:line="360" w:lineRule="auto"/>
        <w:ind w:left="360"/>
        <w:jc w:val="both"/>
        <w:rPr>
          <w:rFonts w:ascii="David" w:hAnsi="David" w:cs="David"/>
          <w:sz w:val="24"/>
          <w:szCs w:val="24"/>
        </w:rPr>
      </w:pPr>
    </w:p>
    <w:p w:rsidR="004127E0" w:rsidRDefault="004127E0" w:rsidP="009303F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אין חולק כי עסקינן בדירה שנרכשה ביום 1.2.1984 על שם אמו של הנתבע באמצעות חוזה שנחתם בינה לבין חברת </w:t>
      </w:r>
      <w:r w:rsidR="009303F8">
        <w:rPr>
          <w:rFonts w:ascii="David" w:hAnsi="David" w:cs="David" w:hint="cs"/>
          <w:sz w:val="24"/>
          <w:szCs w:val="24"/>
          <w:rtl/>
        </w:rPr>
        <w:t>***</w:t>
      </w:r>
      <w:r>
        <w:rPr>
          <w:rFonts w:ascii="David" w:hAnsi="David" w:cs="David"/>
          <w:sz w:val="24"/>
          <w:szCs w:val="24"/>
          <w:rtl/>
        </w:rPr>
        <w:t xml:space="preserve"> (ר' נספח 4 שצורף לתצהיר הנתבע).</w:t>
      </w:r>
    </w:p>
    <w:p w:rsidR="004127E0" w:rsidRDefault="004127E0" w:rsidP="00F748E1">
      <w:pPr>
        <w:pStyle w:val="ad"/>
        <w:spacing w:line="360" w:lineRule="auto"/>
        <w:ind w:left="360"/>
        <w:jc w:val="both"/>
        <w:rPr>
          <w:rFonts w:ascii="David" w:hAnsi="David" w:cs="David"/>
          <w:sz w:val="24"/>
          <w:szCs w:val="24"/>
          <w:rtl/>
        </w:rPr>
      </w:pPr>
      <w:r>
        <w:rPr>
          <w:rFonts w:ascii="David" w:hAnsi="David" w:cs="David"/>
          <w:sz w:val="24"/>
          <w:szCs w:val="24"/>
          <w:rtl/>
        </w:rPr>
        <w:t xml:space="preserve">על פי מסמך הודעה על תנאי רכישת דירה (צורף </w:t>
      </w:r>
      <w:r w:rsidR="00F748E1">
        <w:rPr>
          <w:rFonts w:ascii="David" w:hAnsi="David" w:cs="David" w:hint="cs"/>
          <w:sz w:val="24"/>
          <w:szCs w:val="24"/>
          <w:rtl/>
        </w:rPr>
        <w:t>כ</w:t>
      </w:r>
      <w:r>
        <w:rPr>
          <w:rFonts w:ascii="David" w:hAnsi="David" w:cs="David"/>
          <w:sz w:val="24"/>
          <w:szCs w:val="24"/>
          <w:rtl/>
        </w:rPr>
        <w:t>נספח</w:t>
      </w:r>
      <w:r w:rsidR="00F748E1">
        <w:rPr>
          <w:rFonts w:ascii="David" w:hAnsi="David" w:cs="David" w:hint="cs"/>
          <w:sz w:val="24"/>
          <w:szCs w:val="24"/>
          <w:rtl/>
        </w:rPr>
        <w:t xml:space="preserve"> 4</w:t>
      </w:r>
      <w:r>
        <w:rPr>
          <w:rFonts w:ascii="David" w:hAnsi="David" w:cs="David"/>
          <w:sz w:val="24"/>
          <w:szCs w:val="24"/>
          <w:rtl/>
        </w:rPr>
        <w:t xml:space="preserve">), עולה כי תהליך רכישת הדירה על ידי האם המנוחה החל עוד בחודש אוקטובר 1983, ולאחר שהתגוררה בה שנים ארוכות כשוכרת (משנת 1962 לדברי הנתבע). </w:t>
      </w:r>
    </w:p>
    <w:p w:rsidR="004127E0" w:rsidRDefault="004127E0" w:rsidP="004127E0">
      <w:pPr>
        <w:pStyle w:val="ad"/>
        <w:spacing w:line="360" w:lineRule="auto"/>
        <w:ind w:left="360"/>
        <w:jc w:val="both"/>
        <w:rPr>
          <w:rFonts w:ascii="David" w:hAnsi="David" w:cs="David"/>
          <w:sz w:val="24"/>
          <w:szCs w:val="24"/>
          <w:rtl/>
        </w:rPr>
      </w:pPr>
      <w:r>
        <w:rPr>
          <w:rFonts w:ascii="David" w:hAnsi="David" w:cs="David"/>
          <w:sz w:val="24"/>
          <w:szCs w:val="24"/>
          <w:rtl/>
        </w:rPr>
        <w:t xml:space="preserve">אין חולק כי המשכנתא נלקחה על שם האם המנוחה בלבד. בשנת 1996 הדירה נרשמה בטאבו על שמה (ר' נספח 12 לתצהירו של הנתבע). </w:t>
      </w:r>
    </w:p>
    <w:p w:rsidR="004127E0" w:rsidRDefault="004127E0" w:rsidP="004127E0">
      <w:pPr>
        <w:pStyle w:val="ad"/>
        <w:spacing w:line="360" w:lineRule="auto"/>
        <w:ind w:left="360"/>
        <w:jc w:val="both"/>
        <w:rPr>
          <w:rFonts w:ascii="David" w:hAnsi="David" w:cs="David"/>
          <w:sz w:val="24"/>
          <w:szCs w:val="24"/>
        </w:rPr>
      </w:pPr>
      <w:r>
        <w:rPr>
          <w:rFonts w:ascii="David" w:hAnsi="David" w:cs="David"/>
          <w:sz w:val="24"/>
          <w:szCs w:val="24"/>
          <w:rtl/>
        </w:rPr>
        <w:t xml:space="preserve">אין חולק כי בשנת 2010 הדירה הועברה על שם הנתבע ללא תמורה במתנה מאמו. האם נותרה להתגורר בדירה ללא תשלום דמי שכירות וזאת עד פטירתה במרוצת שנת 2017. </w:t>
      </w:r>
    </w:p>
    <w:p w:rsidR="004127E0" w:rsidRDefault="004127E0" w:rsidP="004127E0">
      <w:pPr>
        <w:pStyle w:val="ad"/>
        <w:spacing w:line="360" w:lineRule="auto"/>
        <w:ind w:left="360"/>
        <w:jc w:val="both"/>
        <w:rPr>
          <w:rFonts w:ascii="David" w:hAnsi="David" w:cs="David"/>
          <w:sz w:val="24"/>
          <w:szCs w:val="24"/>
          <w:rtl/>
        </w:rPr>
      </w:pPr>
      <w:r>
        <w:rPr>
          <w:rFonts w:ascii="David" w:hAnsi="David" w:cs="David"/>
          <w:sz w:val="24"/>
          <w:szCs w:val="24"/>
          <w:rtl/>
        </w:rPr>
        <w:t xml:space="preserve">אין חולק כי הדירה לא שימשה מעולם למגורי הצדדים עצמם. </w:t>
      </w:r>
    </w:p>
    <w:p w:rsidR="004127E0" w:rsidRDefault="004127E0" w:rsidP="004127E0">
      <w:pPr>
        <w:pStyle w:val="ad"/>
        <w:spacing w:line="360" w:lineRule="auto"/>
        <w:ind w:left="360"/>
        <w:jc w:val="both"/>
        <w:rPr>
          <w:rFonts w:ascii="David" w:hAnsi="David" w:cs="David"/>
          <w:sz w:val="24"/>
          <w:szCs w:val="24"/>
          <w:rtl/>
        </w:rPr>
      </w:pPr>
    </w:p>
    <w:p w:rsidR="004127E0" w:rsidRDefault="004127E0" w:rsidP="004127E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על אף האמור, התובעת מבקשת לבסס טענתה לשיתוף ספציפי בדירה על מס' אדנים:  </w:t>
      </w:r>
    </w:p>
    <w:p w:rsidR="004127E0" w:rsidRDefault="004127E0" w:rsidP="004127E0">
      <w:pPr>
        <w:pStyle w:val="ad"/>
        <w:spacing w:line="360" w:lineRule="auto"/>
        <w:ind w:left="360"/>
        <w:jc w:val="both"/>
        <w:rPr>
          <w:rFonts w:ascii="David" w:hAnsi="David" w:cs="David"/>
          <w:sz w:val="24"/>
          <w:szCs w:val="24"/>
        </w:rPr>
      </w:pPr>
      <w:r>
        <w:rPr>
          <w:rFonts w:ascii="David" w:hAnsi="David" w:cs="David"/>
          <w:sz w:val="24"/>
          <w:szCs w:val="24"/>
          <w:rtl/>
        </w:rPr>
        <w:t>הצדדים נשאו בתשלומי המשכנתא שרבצו על הדירה מאז לקיחתה כאשר ברקע הבטחת</w:t>
      </w:r>
      <w:r>
        <w:rPr>
          <w:rFonts w:ascii="David" w:hAnsi="David" w:cs="David"/>
          <w:sz w:val="24"/>
          <w:szCs w:val="24"/>
        </w:rPr>
        <w:t xml:space="preserve"> </w:t>
      </w:r>
      <w:r>
        <w:rPr>
          <w:rFonts w:ascii="David" w:hAnsi="David" w:cs="David"/>
          <w:sz w:val="24"/>
          <w:szCs w:val="24"/>
          <w:rtl/>
        </w:rPr>
        <w:t>הנתבע כי הדירה תעבור על שמם עם סילוק המשכנתא;</w:t>
      </w:r>
    </w:p>
    <w:p w:rsidR="004127E0" w:rsidRDefault="004127E0" w:rsidP="004127E0">
      <w:pPr>
        <w:pStyle w:val="ad"/>
        <w:spacing w:line="360" w:lineRule="auto"/>
        <w:ind w:left="360"/>
        <w:jc w:val="both"/>
        <w:rPr>
          <w:rFonts w:ascii="David" w:hAnsi="David" w:cs="David"/>
          <w:sz w:val="24"/>
          <w:szCs w:val="24"/>
        </w:rPr>
      </w:pPr>
      <w:r>
        <w:rPr>
          <w:rFonts w:ascii="David" w:hAnsi="David" w:cs="David"/>
          <w:sz w:val="24"/>
          <w:szCs w:val="24"/>
          <w:rtl/>
        </w:rPr>
        <w:t>המנוחה חפצה להעניק את הדירה לשני הצדדים יחד בעוד משיקולי פרוצדורה נרשמה הדירה על שם הנתבע בלבד;</w:t>
      </w:r>
    </w:p>
    <w:p w:rsidR="004127E0" w:rsidRDefault="004127E0" w:rsidP="004127E0">
      <w:pPr>
        <w:pStyle w:val="ad"/>
        <w:spacing w:line="360" w:lineRule="auto"/>
        <w:ind w:left="360"/>
        <w:jc w:val="both"/>
        <w:rPr>
          <w:rFonts w:ascii="David" w:hAnsi="David" w:cs="David"/>
          <w:sz w:val="24"/>
          <w:szCs w:val="24"/>
          <w:rtl/>
        </w:rPr>
      </w:pPr>
      <w:r>
        <w:rPr>
          <w:rFonts w:ascii="David" w:hAnsi="David" w:cs="David"/>
          <w:sz w:val="24"/>
          <w:szCs w:val="24"/>
          <w:rtl/>
        </w:rPr>
        <w:t xml:space="preserve">הדירה שופצה באופן מסיבי, כאשר השיפוץ מומן מחשבונם המשותף של הצדדים. </w:t>
      </w:r>
    </w:p>
    <w:p w:rsidR="004127E0" w:rsidRDefault="004127E0" w:rsidP="004127E0">
      <w:pPr>
        <w:pStyle w:val="ad"/>
        <w:spacing w:line="360" w:lineRule="auto"/>
        <w:ind w:left="360"/>
        <w:jc w:val="both"/>
        <w:rPr>
          <w:rFonts w:ascii="David" w:hAnsi="David" w:cs="David"/>
          <w:sz w:val="24"/>
          <w:szCs w:val="24"/>
        </w:rPr>
      </w:pPr>
    </w:p>
    <w:p w:rsidR="004127E0" w:rsidRDefault="004127E0" w:rsidP="004127E0">
      <w:pPr>
        <w:pStyle w:val="ad"/>
        <w:spacing w:line="360" w:lineRule="auto"/>
        <w:ind w:left="360"/>
        <w:jc w:val="both"/>
        <w:rPr>
          <w:rFonts w:ascii="David" w:hAnsi="David" w:cs="David"/>
          <w:sz w:val="24"/>
          <w:szCs w:val="24"/>
          <w:rtl/>
        </w:rPr>
      </w:pPr>
      <w:r>
        <w:rPr>
          <w:rFonts w:ascii="David" w:hAnsi="David" w:cs="David"/>
          <w:sz w:val="24"/>
          <w:szCs w:val="24"/>
          <w:rtl/>
        </w:rPr>
        <w:t>אדרש לטענות על פי סדרן.</w:t>
      </w:r>
    </w:p>
    <w:p w:rsidR="004127E0" w:rsidRDefault="004127E0" w:rsidP="004127E0">
      <w:pPr>
        <w:pStyle w:val="ad"/>
        <w:spacing w:line="360" w:lineRule="auto"/>
        <w:ind w:left="360"/>
        <w:jc w:val="both"/>
        <w:rPr>
          <w:rFonts w:ascii="David" w:hAnsi="David" w:cs="David"/>
          <w:sz w:val="24"/>
          <w:szCs w:val="24"/>
          <w:rtl/>
        </w:rPr>
      </w:pPr>
    </w:p>
    <w:p w:rsidR="004127E0" w:rsidRDefault="004127E0" w:rsidP="009303F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 הוכחה כל עיקר טענתה היסודית של התובעת לפיה החזרי המשכנתא עבור הדירה שולמו מהיום הראשון ועד סילוקם הסופי, מהחשבון המשותף של הצדדים. לא נמצא בתוצרי צו גילוי המסמכים שניתן </w:t>
      </w:r>
      <w:r w:rsidR="00193541">
        <w:rPr>
          <w:rFonts w:ascii="David" w:hAnsi="David" w:cs="David" w:hint="cs"/>
          <w:sz w:val="24"/>
          <w:szCs w:val="24"/>
          <w:rtl/>
        </w:rPr>
        <w:t xml:space="preserve">ביחס לחשבונות הבנק </w:t>
      </w:r>
      <w:r>
        <w:rPr>
          <w:rFonts w:ascii="David" w:hAnsi="David" w:cs="David"/>
          <w:sz w:val="24"/>
          <w:szCs w:val="24"/>
          <w:rtl/>
        </w:rPr>
        <w:t>ממועד נישואי הצדדים</w:t>
      </w:r>
      <w:r w:rsidR="00193541">
        <w:rPr>
          <w:rFonts w:ascii="David" w:hAnsi="David" w:cs="David" w:hint="cs"/>
          <w:sz w:val="24"/>
          <w:szCs w:val="24"/>
          <w:rtl/>
        </w:rPr>
        <w:t xml:space="preserve">, </w:t>
      </w:r>
      <w:r>
        <w:rPr>
          <w:rFonts w:ascii="David" w:hAnsi="David" w:cs="David"/>
          <w:sz w:val="24"/>
          <w:szCs w:val="24"/>
          <w:rtl/>
        </w:rPr>
        <w:t xml:space="preserve"> כל תימוכין לטענה זו. </w:t>
      </w:r>
    </w:p>
    <w:p w:rsidR="004127E0" w:rsidRDefault="004127E0" w:rsidP="00193541">
      <w:pPr>
        <w:pStyle w:val="ad"/>
        <w:spacing w:line="360" w:lineRule="auto"/>
        <w:ind w:left="360"/>
        <w:jc w:val="both"/>
        <w:rPr>
          <w:rFonts w:ascii="David" w:hAnsi="David" w:cs="David"/>
          <w:sz w:val="24"/>
          <w:szCs w:val="24"/>
          <w:rtl/>
        </w:rPr>
      </w:pPr>
      <w:r>
        <w:rPr>
          <w:rFonts w:ascii="David" w:hAnsi="David" w:cs="David"/>
          <w:sz w:val="24"/>
          <w:szCs w:val="24"/>
          <w:rtl/>
        </w:rPr>
        <w:t xml:space="preserve">למעשה טענת הנתבע לפיה </w:t>
      </w:r>
      <w:r w:rsidR="00193541">
        <w:rPr>
          <w:rFonts w:ascii="David" w:hAnsi="David" w:cs="David" w:hint="cs"/>
          <w:sz w:val="24"/>
          <w:szCs w:val="24"/>
          <w:rtl/>
        </w:rPr>
        <w:t>האם נשאה ממקורותיה בתשלומי המשכנתא ממועד נטילתה ועד שנת 2005 או בסמוך לכך אז חזרה הוראת הקבע ועל כן ומתוך סיוע לאם הועברה לחשבון הצדדים</w:t>
      </w:r>
      <w:r w:rsidR="00335F63">
        <w:rPr>
          <w:rFonts w:ascii="David" w:hAnsi="David" w:cs="David" w:hint="cs"/>
          <w:sz w:val="24"/>
          <w:szCs w:val="24"/>
          <w:rtl/>
        </w:rPr>
        <w:t>, לא נסתרה והיא נתמכת בראיות שהציגה הת</w:t>
      </w:r>
      <w:r w:rsidR="00193541">
        <w:rPr>
          <w:rFonts w:ascii="David" w:hAnsi="David" w:cs="David" w:hint="cs"/>
          <w:sz w:val="24"/>
          <w:szCs w:val="24"/>
          <w:rtl/>
        </w:rPr>
        <w:t>ו</w:t>
      </w:r>
      <w:r w:rsidR="00335F63">
        <w:rPr>
          <w:rFonts w:ascii="David" w:hAnsi="David" w:cs="David" w:hint="cs"/>
          <w:sz w:val="24"/>
          <w:szCs w:val="24"/>
          <w:rtl/>
        </w:rPr>
        <w:t>בעת עצמה (ר' נספחים ו' -ז' לתצהירה)</w:t>
      </w:r>
    </w:p>
    <w:p w:rsidR="004127E0" w:rsidRDefault="004127E0" w:rsidP="005A2658">
      <w:pPr>
        <w:pStyle w:val="ad"/>
        <w:spacing w:line="360" w:lineRule="auto"/>
        <w:ind w:left="360"/>
        <w:jc w:val="both"/>
        <w:rPr>
          <w:rFonts w:ascii="David" w:hAnsi="David" w:cs="David"/>
          <w:sz w:val="24"/>
          <w:szCs w:val="24"/>
        </w:rPr>
      </w:pPr>
      <w:r>
        <w:rPr>
          <w:rFonts w:ascii="David" w:hAnsi="David" w:cs="David"/>
          <w:sz w:val="24"/>
          <w:szCs w:val="24"/>
          <w:rtl/>
        </w:rPr>
        <w:t xml:space="preserve">התובעת לא צלחה להסביר בעדותה מדוע הגיעה לכלל מסקנה כי תשלומי המשכנתא שולמו ממקורותיהם של הצדדים מאז שנת 1983 (עוד קודם לנישואיהם) ואך מצאה לציין באופן לקוני ובלתי מבואר: " </w:t>
      </w:r>
      <w:r>
        <w:rPr>
          <w:rFonts w:ascii="David" w:hAnsi="David" w:cs="David"/>
          <w:b/>
          <w:bCs/>
          <w:sz w:val="24"/>
          <w:szCs w:val="24"/>
          <w:rtl/>
        </w:rPr>
        <w:t>אני חושבת שזה כך כי יתר התשלומים בוצעו מהחשבון המשותף"</w:t>
      </w:r>
      <w:r>
        <w:rPr>
          <w:rFonts w:ascii="David" w:hAnsi="David" w:cs="David"/>
          <w:sz w:val="24"/>
          <w:szCs w:val="24"/>
          <w:rtl/>
        </w:rPr>
        <w:t xml:space="preserve"> (ר' ע' 20 ש' 15-17).  התובעת גם אישרה שלא שילמה כל מקדמות עבור הדירה (ר' ע' 20 ש 25 ועמ' 21 ש' 1-4  ו- 18-19). כאשר עומתה עם מסמכים המלמדים על תשלומים שונים בהם נשאה האם המנוחה בגין הדירה, השיבה באופן בלתי משכנע:" </w:t>
      </w:r>
      <w:r w:rsidR="005A2658">
        <w:rPr>
          <w:rFonts w:ascii="David" w:hAnsi="David" w:cs="David"/>
          <w:b/>
          <w:bCs/>
          <w:sz w:val="24"/>
          <w:szCs w:val="24"/>
          <w:rtl/>
        </w:rPr>
        <w:t>לא יודעת להגיד לך...</w:t>
      </w:r>
      <w:r w:rsidR="005A2658">
        <w:rPr>
          <w:rFonts w:ascii="David" w:hAnsi="David" w:cs="David" w:hint="cs"/>
          <w:b/>
          <w:bCs/>
          <w:sz w:val="24"/>
          <w:szCs w:val="24"/>
          <w:rtl/>
        </w:rPr>
        <w:t xml:space="preserve"> פלוני</w:t>
      </w:r>
      <w:r>
        <w:rPr>
          <w:rFonts w:ascii="David" w:hAnsi="David" w:cs="David"/>
          <w:b/>
          <w:bCs/>
          <w:sz w:val="24"/>
          <w:szCs w:val="24"/>
          <w:rtl/>
        </w:rPr>
        <w:t xml:space="preserve"> טיפל בהכל וסמכתי עליו, זה היה דברים בינו לבינה ואני לא נכנסתי לזה ואין לי מטרה להיכנס לזה..."</w:t>
      </w:r>
      <w:r>
        <w:rPr>
          <w:rFonts w:ascii="David" w:hAnsi="David" w:cs="David"/>
          <w:sz w:val="24"/>
          <w:szCs w:val="24"/>
          <w:rtl/>
        </w:rPr>
        <w:t xml:space="preserve"> (ר' ע' 22 ש' 24-26).</w:t>
      </w:r>
    </w:p>
    <w:p w:rsidR="004127E0" w:rsidRDefault="004127E0" w:rsidP="004127E0">
      <w:pPr>
        <w:pStyle w:val="ad"/>
        <w:spacing w:line="360" w:lineRule="auto"/>
        <w:ind w:left="360"/>
        <w:jc w:val="both"/>
        <w:rPr>
          <w:rFonts w:ascii="David" w:hAnsi="David" w:cs="David"/>
          <w:sz w:val="24"/>
          <w:szCs w:val="24"/>
          <w:rtl/>
        </w:rPr>
      </w:pPr>
      <w:r>
        <w:rPr>
          <w:rFonts w:ascii="David" w:hAnsi="David" w:cs="David"/>
          <w:sz w:val="24"/>
          <w:szCs w:val="24"/>
          <w:rtl/>
        </w:rPr>
        <w:t>למעשה כפי שהובהר בחקירתה , גרסת התובעת בקשר עם תשלומי המשכנתא נסמכת על דברים/ הבטחות ששמעה לכאורה מהנתבע להבדיל מידיעה אישית שלה (ר' ע' 21 ש' 8-11). אלא שהתובעת לא הניחה תשתית ראייתית מספקת להוכחת גרסתה בדבר כוונת שיתוף. כאמור, לא שוכנעתי כי הייתה כוונה מצד הנתבע לשתף את התובעת בזכויותיו בדירה.</w:t>
      </w:r>
    </w:p>
    <w:p w:rsidR="004127E0" w:rsidRDefault="004127E0" w:rsidP="004127E0">
      <w:pPr>
        <w:pStyle w:val="ad"/>
        <w:spacing w:line="360" w:lineRule="auto"/>
        <w:ind w:left="360"/>
        <w:jc w:val="both"/>
        <w:rPr>
          <w:rFonts w:ascii="David" w:hAnsi="David" w:cs="David"/>
          <w:sz w:val="24"/>
          <w:szCs w:val="24"/>
          <w:rtl/>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התובעת לא מצאה לנכון לזמן לעדות אף לא אחד מבני משפחתו של הנתבע או עד חיצוני אחר על מנת לבסס גרסתה והגם שטענה כי על רקע מצבה הכלכלי של האם והסיוע שניתן לה לכאורה מהצדדים, היה ידוע לאחיו של הנתבע כי הדירה שייכת להם (ר' ע' 23 ש' 1-7).יש להניח כי לו עניין הזכויות בדירה דובר באופן מפורש בין הצדדים לאורך כל תקופת השיתוף, היו מי מקרובי הצדדים  בני משפחה או חברים עדים לשיח זה . ברם, התובעת לא מצאה לנכון להביא כל עדות תומכת והדבר נזקף לחובתה. </w:t>
      </w:r>
    </w:p>
    <w:p w:rsidR="004127E0" w:rsidRDefault="004127E0" w:rsidP="004127E0">
      <w:pPr>
        <w:pStyle w:val="ad"/>
        <w:spacing w:line="360" w:lineRule="auto"/>
        <w:ind w:left="360"/>
        <w:jc w:val="both"/>
        <w:rPr>
          <w:rFonts w:ascii="David" w:hAnsi="David" w:cs="David"/>
          <w:noProof/>
          <w:sz w:val="24"/>
          <w:szCs w:val="24"/>
          <w:rtl/>
        </w:rPr>
      </w:pPr>
    </w:p>
    <w:p w:rsidR="00193541" w:rsidRDefault="004127E0" w:rsidP="00193541">
      <w:pPr>
        <w:pStyle w:val="ad"/>
        <w:numPr>
          <w:ilvl w:val="0"/>
          <w:numId w:val="1"/>
        </w:numPr>
        <w:spacing w:line="360" w:lineRule="auto"/>
        <w:jc w:val="both"/>
        <w:rPr>
          <w:rFonts w:ascii="David" w:hAnsi="David" w:cs="David"/>
          <w:noProof/>
          <w:sz w:val="24"/>
          <w:szCs w:val="24"/>
        </w:rPr>
      </w:pPr>
      <w:r>
        <w:rPr>
          <w:rFonts w:ascii="David" w:hAnsi="David" w:cs="David"/>
          <w:sz w:val="24"/>
          <w:szCs w:val="24"/>
          <w:rtl/>
        </w:rPr>
        <w:t xml:space="preserve">אמת כי טענת הנתבע לפיה קיבל לידיו החזרים במזומן מאמו כנגד כל תשלום משכנתא שיצא מחשבונם המשותף של הצדדים לא הוכחה . הנתבע לא הרים הנטל המשני המונח לפתחו בעניין זה. </w:t>
      </w:r>
      <w:r w:rsidRPr="00193541">
        <w:rPr>
          <w:rFonts w:ascii="David" w:hAnsi="David" w:cs="David"/>
          <w:sz w:val="24"/>
          <w:szCs w:val="24"/>
          <w:rtl/>
        </w:rPr>
        <w:t xml:space="preserve">העובדה שחלק קטן מתשלומי המשכנתא שולמו מהחשבון המשותף </w:t>
      </w:r>
      <w:r w:rsidR="00193541">
        <w:rPr>
          <w:rFonts w:ascii="David" w:hAnsi="David" w:cs="David" w:hint="cs"/>
          <w:sz w:val="24"/>
          <w:szCs w:val="24"/>
          <w:rtl/>
        </w:rPr>
        <w:t xml:space="preserve">של הצדדים </w:t>
      </w:r>
      <w:r w:rsidRPr="00193541">
        <w:rPr>
          <w:rFonts w:ascii="David" w:hAnsi="David" w:cs="David"/>
          <w:sz w:val="24"/>
          <w:szCs w:val="24"/>
          <w:rtl/>
        </w:rPr>
        <w:t>עשויה ללמד כי סיוע כספי אכן ניתן לאם על רקע מצבה הכלכלי, אך בנסיבות העניין לא מצאתי כי די בכך כדי להוכיח כוונת שיתוף ספציפי בדירה.</w:t>
      </w:r>
    </w:p>
    <w:p w:rsidR="00193541" w:rsidRPr="00193541" w:rsidRDefault="00193541" w:rsidP="00193541">
      <w:pPr>
        <w:pStyle w:val="ad"/>
        <w:rPr>
          <w:rFonts w:ascii="David" w:hAnsi="David" w:cs="David"/>
          <w:sz w:val="24"/>
          <w:szCs w:val="24"/>
          <w:rtl/>
        </w:rPr>
      </w:pPr>
    </w:p>
    <w:p w:rsidR="004127E0" w:rsidRPr="00193541" w:rsidRDefault="001D0DCD" w:rsidP="009303F8">
      <w:pPr>
        <w:pStyle w:val="ad"/>
        <w:numPr>
          <w:ilvl w:val="0"/>
          <w:numId w:val="1"/>
        </w:numPr>
        <w:spacing w:line="360" w:lineRule="auto"/>
        <w:jc w:val="both"/>
        <w:rPr>
          <w:rFonts w:ascii="David" w:hAnsi="David" w:cs="David"/>
          <w:noProof/>
          <w:sz w:val="24"/>
          <w:szCs w:val="24"/>
          <w:rtl/>
        </w:rPr>
      </w:pPr>
      <w:r w:rsidRPr="00193541">
        <w:rPr>
          <w:rFonts w:ascii="David" w:hAnsi="David" w:cs="David" w:hint="cs"/>
          <w:sz w:val="24"/>
          <w:szCs w:val="24"/>
          <w:rtl/>
        </w:rPr>
        <w:t>כעולה מתדפיס "</w:t>
      </w:r>
      <w:r w:rsidR="00BE0ADF">
        <w:rPr>
          <w:rFonts w:ascii="David" w:hAnsi="David" w:cs="David" w:hint="cs"/>
          <w:sz w:val="24"/>
          <w:szCs w:val="24"/>
          <w:rtl/>
        </w:rPr>
        <w:t>תנועה כספית בהלוואה</w:t>
      </w:r>
      <w:r w:rsidR="009303F8">
        <w:rPr>
          <w:rFonts w:ascii="David" w:hAnsi="David" w:cs="David" w:hint="cs"/>
          <w:sz w:val="24"/>
          <w:szCs w:val="24"/>
          <w:rtl/>
        </w:rPr>
        <w:t xml:space="preserve"> "</w:t>
      </w:r>
      <w:r w:rsidR="00335F63" w:rsidRPr="00193541">
        <w:rPr>
          <w:rFonts w:ascii="David" w:hAnsi="David" w:cs="David" w:hint="cs"/>
          <w:sz w:val="24"/>
          <w:szCs w:val="24"/>
          <w:rtl/>
        </w:rPr>
        <w:t xml:space="preserve"> </w:t>
      </w:r>
      <w:r w:rsidRPr="00193541">
        <w:rPr>
          <w:rFonts w:ascii="David" w:hAnsi="David" w:cs="David" w:hint="cs"/>
          <w:sz w:val="24"/>
          <w:szCs w:val="24"/>
          <w:rtl/>
        </w:rPr>
        <w:t xml:space="preserve">(צורף כנספח ו' לתצהיר התובעת) </w:t>
      </w:r>
      <w:r w:rsidR="004127E0" w:rsidRPr="00193541">
        <w:rPr>
          <w:rFonts w:ascii="David" w:hAnsi="David" w:cs="David"/>
          <w:sz w:val="24"/>
          <w:szCs w:val="24"/>
          <w:rtl/>
        </w:rPr>
        <w:t>תשלומי המשכנתא השוטפים עמדו</w:t>
      </w:r>
      <w:r w:rsidR="00335F63" w:rsidRPr="00193541">
        <w:rPr>
          <w:rFonts w:ascii="David" w:hAnsi="David" w:cs="David" w:hint="cs"/>
          <w:sz w:val="24"/>
          <w:szCs w:val="24"/>
          <w:rtl/>
        </w:rPr>
        <w:t xml:space="preserve"> בשנים הרלוונטיות</w:t>
      </w:r>
      <w:r w:rsidR="004127E0" w:rsidRPr="00193541">
        <w:rPr>
          <w:rFonts w:ascii="David" w:hAnsi="David" w:cs="David"/>
          <w:sz w:val="24"/>
          <w:szCs w:val="24"/>
          <w:rtl/>
        </w:rPr>
        <w:t xml:space="preserve"> </w:t>
      </w:r>
      <w:r w:rsidR="00DE4A79">
        <w:rPr>
          <w:rFonts w:ascii="David" w:hAnsi="David" w:cs="David" w:hint="cs"/>
          <w:sz w:val="24"/>
          <w:szCs w:val="24"/>
          <w:rtl/>
        </w:rPr>
        <w:t>על כמה מאות שקלים בלבד</w:t>
      </w:r>
      <w:r w:rsidR="00335F63" w:rsidRPr="00193541">
        <w:rPr>
          <w:rFonts w:ascii="David" w:hAnsi="David" w:cs="David" w:hint="cs"/>
          <w:sz w:val="24"/>
          <w:szCs w:val="24"/>
          <w:rtl/>
        </w:rPr>
        <w:t xml:space="preserve">. </w:t>
      </w:r>
      <w:r w:rsidR="004127E0" w:rsidRPr="00193541">
        <w:rPr>
          <w:rFonts w:ascii="David" w:hAnsi="David" w:cs="David"/>
          <w:sz w:val="24"/>
          <w:szCs w:val="24"/>
          <w:rtl/>
        </w:rPr>
        <w:t>המדובר בהיקף השקעה קטן ביחס לשווי הכולל של הדירה וההשקעה הראשונית בה.</w:t>
      </w:r>
    </w:p>
    <w:p w:rsidR="004127E0" w:rsidRDefault="004127E0" w:rsidP="004127E0">
      <w:pPr>
        <w:pStyle w:val="ad"/>
        <w:rPr>
          <w:rFonts w:ascii="David" w:hAnsi="David" w:cs="David"/>
          <w:noProof/>
          <w:sz w:val="24"/>
          <w:szCs w:val="24"/>
        </w:rPr>
      </w:pPr>
    </w:p>
    <w:p w:rsidR="004127E0" w:rsidRDefault="004127E0" w:rsidP="00BE0ADF">
      <w:pPr>
        <w:pStyle w:val="ad"/>
        <w:numPr>
          <w:ilvl w:val="0"/>
          <w:numId w:val="1"/>
        </w:numPr>
        <w:spacing w:line="360" w:lineRule="auto"/>
        <w:jc w:val="both"/>
        <w:rPr>
          <w:rFonts w:ascii="David" w:hAnsi="David" w:cs="David"/>
          <w:noProof/>
          <w:sz w:val="24"/>
          <w:szCs w:val="24"/>
          <w:rtl/>
        </w:rPr>
      </w:pPr>
      <w:r>
        <w:rPr>
          <w:rFonts w:ascii="David" w:hAnsi="David" w:cs="David"/>
          <w:sz w:val="24"/>
          <w:szCs w:val="24"/>
          <w:rtl/>
        </w:rPr>
        <w:t xml:space="preserve">יחד עם זאת איני מוצאת לקבל טענת הנתבע לפי מדובר בכספים ששולמו ממקורותיו </w:t>
      </w:r>
      <w:r w:rsidR="00335F63">
        <w:rPr>
          <w:rFonts w:ascii="David" w:hAnsi="David" w:cs="David" w:hint="cs"/>
          <w:sz w:val="24"/>
          <w:szCs w:val="24"/>
          <w:rtl/>
        </w:rPr>
        <w:t xml:space="preserve">האישיים </w:t>
      </w:r>
      <w:r>
        <w:rPr>
          <w:rFonts w:ascii="David" w:hAnsi="David" w:cs="David"/>
          <w:sz w:val="24"/>
          <w:szCs w:val="24"/>
          <w:rtl/>
        </w:rPr>
        <w:t>הואי</w:t>
      </w:r>
      <w:r w:rsidR="00BE0ADF">
        <w:rPr>
          <w:rFonts w:ascii="David" w:hAnsi="David" w:cs="David"/>
          <w:sz w:val="24"/>
          <w:szCs w:val="24"/>
          <w:rtl/>
        </w:rPr>
        <w:t>ל ובחשבון המשלם הופקד שכרו בלבד</w:t>
      </w:r>
      <w:r w:rsidR="00BE0ADF">
        <w:rPr>
          <w:rFonts w:ascii="David" w:hAnsi="David" w:cs="David" w:hint="cs"/>
          <w:sz w:val="24"/>
          <w:szCs w:val="24"/>
          <w:rtl/>
        </w:rPr>
        <w:t xml:space="preserve">, שכן לא הוכחה </w:t>
      </w:r>
      <w:r>
        <w:rPr>
          <w:rFonts w:ascii="David" w:hAnsi="David" w:cs="David"/>
          <w:sz w:val="24"/>
          <w:szCs w:val="24"/>
          <w:rtl/>
        </w:rPr>
        <w:t xml:space="preserve">הפרדה רכושית בין השניים. פירעון תשלומי המשכנתא מהחשבון המשותף גרע מזכויות התובעת בכספים המשותפים, לפיכך בדין עותרת התובעת להורות על השבת מחצית התשלומים לידיה. </w:t>
      </w:r>
    </w:p>
    <w:p w:rsidR="004127E0" w:rsidRDefault="004127E0" w:rsidP="00335F63">
      <w:pPr>
        <w:pStyle w:val="ad"/>
        <w:spacing w:line="360" w:lineRule="auto"/>
        <w:ind w:left="360"/>
        <w:jc w:val="both"/>
        <w:rPr>
          <w:rFonts w:ascii="David" w:hAnsi="David" w:cs="David"/>
          <w:noProof/>
          <w:sz w:val="24"/>
          <w:szCs w:val="24"/>
        </w:rPr>
      </w:pPr>
      <w:r>
        <w:rPr>
          <w:rFonts w:ascii="David" w:hAnsi="David" w:cs="David"/>
          <w:sz w:val="24"/>
          <w:szCs w:val="24"/>
          <w:rtl/>
          <w:lang w:eastAsia="he-IL"/>
        </w:rPr>
        <w:t xml:space="preserve">העוגן המשפטי לכך מצוי בדיני עשיית עושר ולא במשפט (ר' תמ"ש (ב"ש) 55103-05-11 א.א. נ' י.א.). מכוח עיקרון זה מצאתי כי התובעת זכאית להשבה של מחצית מכל החזרי המשכנתא ששולמו מהחשבון המשותף החל בשנת </w:t>
      </w:r>
      <w:r w:rsidR="00335F63">
        <w:rPr>
          <w:rFonts w:ascii="David" w:hAnsi="David" w:cs="David" w:hint="cs"/>
          <w:sz w:val="24"/>
          <w:szCs w:val="24"/>
          <w:rtl/>
          <w:lang w:eastAsia="he-IL"/>
        </w:rPr>
        <w:t>2005</w:t>
      </w:r>
      <w:r w:rsidR="00335F63">
        <w:rPr>
          <w:rFonts w:ascii="David" w:hAnsi="David" w:cs="David"/>
          <w:sz w:val="24"/>
          <w:szCs w:val="24"/>
          <w:rtl/>
          <w:lang w:eastAsia="he-IL"/>
        </w:rPr>
        <w:t xml:space="preserve"> ועד סילוק</w:t>
      </w:r>
      <w:r w:rsidR="00335F63">
        <w:rPr>
          <w:rFonts w:ascii="David" w:hAnsi="David" w:cs="David" w:hint="cs"/>
          <w:sz w:val="24"/>
          <w:szCs w:val="24"/>
          <w:rtl/>
          <w:lang w:eastAsia="he-IL"/>
        </w:rPr>
        <w:t>ה הסופי</w:t>
      </w:r>
      <w:r>
        <w:rPr>
          <w:rFonts w:ascii="David" w:hAnsi="David" w:cs="David"/>
          <w:sz w:val="24"/>
          <w:szCs w:val="24"/>
          <w:rtl/>
          <w:lang w:eastAsia="he-IL"/>
        </w:rPr>
        <w:t xml:space="preserve">. לסכומים אלה יש להוסיף הפרשי הצמדה ממועד כל תשלום ועד לתשלום בפועל. </w:t>
      </w:r>
    </w:p>
    <w:p w:rsidR="004127E0" w:rsidRDefault="004127E0" w:rsidP="004127E0">
      <w:pPr>
        <w:pStyle w:val="ad"/>
        <w:spacing w:line="360" w:lineRule="auto"/>
        <w:ind w:left="360"/>
        <w:jc w:val="both"/>
        <w:rPr>
          <w:rFonts w:ascii="David" w:hAnsi="David" w:cs="David"/>
          <w:sz w:val="24"/>
          <w:szCs w:val="24"/>
          <w:rtl/>
        </w:rPr>
      </w:pPr>
    </w:p>
    <w:p w:rsidR="004127E0" w:rsidRPr="00BE0ADF" w:rsidRDefault="004127E0" w:rsidP="00BE0ADF">
      <w:pPr>
        <w:pStyle w:val="ad"/>
        <w:numPr>
          <w:ilvl w:val="0"/>
          <w:numId w:val="1"/>
        </w:numPr>
        <w:spacing w:line="360" w:lineRule="auto"/>
        <w:jc w:val="both"/>
        <w:rPr>
          <w:rFonts w:ascii="David" w:hAnsi="David" w:cs="David"/>
          <w:sz w:val="24"/>
          <w:szCs w:val="24"/>
        </w:rPr>
      </w:pPr>
      <w:r>
        <w:rPr>
          <w:rFonts w:ascii="David" w:hAnsi="David" w:cs="David"/>
          <w:sz w:val="24"/>
          <w:szCs w:val="24"/>
          <w:rtl/>
        </w:rPr>
        <w:t>זאת ועוד לא נמצא כל ממש בטענת התובעת בקשר להתחייבות האם המנוחה לתן את הדירה במתנה לצדדים יחד. אם כך היו פני הדברים, הדעת נותנת כי הדבר היה מוצא ביטוי במסמכי העברת הדירה לרבות הסכם המתנה, ולא היא. לא נמצא כל ביסוס לטענה הכרוכה אחר רישום הדירה על שם הנתבע "מטעמי פרוצדורה". התובעת העלתה טענה זו ללא כל באור או נימוק ענייני ( ר' ס' 18 לתצהיר).</w:t>
      </w:r>
      <w:r w:rsidRPr="00BE0ADF">
        <w:rPr>
          <w:rFonts w:ascii="David" w:hAnsi="David" w:cs="David"/>
          <w:sz w:val="24"/>
          <w:szCs w:val="24"/>
          <w:rtl/>
        </w:rPr>
        <w:t xml:space="preserve">לא הוצג כל הסבר  משכנע בשאלה זו בעוד ניסיון התובעת לבסס גרסתה על יסוד הטענה להסדרת תשלומי המשכנתא על ידי הצדדים מאז שנת  1983, כאמור, לא מצאה אחיזה בחומר הראיות. (ר' ע' 19 ו- 20, ש' 20-26 וש' 1-9). </w:t>
      </w:r>
    </w:p>
    <w:p w:rsidR="004127E0" w:rsidRDefault="004127E0" w:rsidP="00BE0ADF">
      <w:pPr>
        <w:pStyle w:val="ad"/>
        <w:spacing w:line="360" w:lineRule="auto"/>
        <w:ind w:left="360"/>
        <w:jc w:val="both"/>
        <w:rPr>
          <w:rFonts w:ascii="David" w:hAnsi="David" w:cs="David"/>
          <w:sz w:val="24"/>
          <w:szCs w:val="24"/>
          <w:rtl/>
        </w:rPr>
      </w:pPr>
      <w:r>
        <w:rPr>
          <w:rFonts w:ascii="David" w:hAnsi="David" w:cs="David"/>
          <w:sz w:val="24"/>
          <w:szCs w:val="24"/>
          <w:rtl/>
        </w:rPr>
        <w:t>התובעת לא מצאה לנכון לזמן את עוה"ד שטיפל בהסכם המתנה ובהעברת הזכויות בדירה. הלכה מושרשת היא כי אי הבאתו של עד רלוונטי יוצרת את ההנחה כי אילו הושמע העד היה בכך כדי לתמוך בגרסת היריב. התובעת אף כשלה מלבאר בעדותה מדוע זה לא פעלה כל השנים לרשום את הדירה על שמה או לכל הפחות לעורר סוגיה זו ככל שאמנם סברה כי הדירה נתנה במתנה לצדדים יחד (ר' ע' 25 ש' 9-12).</w:t>
      </w:r>
    </w:p>
    <w:p w:rsidR="004127E0" w:rsidRDefault="004127E0" w:rsidP="004127E0">
      <w:pPr>
        <w:pStyle w:val="ad"/>
        <w:spacing w:line="360" w:lineRule="auto"/>
        <w:ind w:left="360"/>
        <w:jc w:val="both"/>
        <w:rPr>
          <w:rFonts w:ascii="David" w:hAnsi="David" w:cs="David"/>
          <w:sz w:val="24"/>
          <w:szCs w:val="24"/>
          <w:rtl/>
        </w:rPr>
      </w:pPr>
    </w:p>
    <w:p w:rsidR="004127E0" w:rsidRDefault="004127E0" w:rsidP="00FD180D">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התובעת גם לא הוכיחה קיומו של "שיפוץ מסיבי" בדירה. התובעת צירפה מספר קבלות המסתכמות בכמה אלפי ₪ בודדים (ר' נספח ט' לתצהירה). לא הוכח כל קשר בין אותן קבל</w:t>
      </w:r>
      <w:r w:rsidR="00FD180D">
        <w:rPr>
          <w:rFonts w:ascii="David" w:hAnsi="David" w:cs="David" w:hint="cs"/>
          <w:sz w:val="24"/>
          <w:szCs w:val="24"/>
          <w:rtl/>
        </w:rPr>
        <w:t>ו</w:t>
      </w:r>
      <w:r>
        <w:rPr>
          <w:rFonts w:ascii="David" w:hAnsi="David" w:cs="David"/>
          <w:sz w:val="24"/>
          <w:szCs w:val="24"/>
          <w:rtl/>
        </w:rPr>
        <w:t>ת לדירה נשוא המחלוקת בעוד שניתן להניח כי אם אכן בוצע שיפוץ רחב היקף כל שכן הרחבת הדירה על דרך בניית תוספת</w:t>
      </w:r>
      <w:r w:rsidR="00FD180D">
        <w:rPr>
          <w:rFonts w:ascii="David" w:hAnsi="David" w:cs="David" w:hint="cs"/>
          <w:sz w:val="24"/>
          <w:szCs w:val="24"/>
          <w:rtl/>
        </w:rPr>
        <w:t>,</w:t>
      </w:r>
      <w:r>
        <w:rPr>
          <w:rFonts w:ascii="David" w:hAnsi="David" w:cs="David"/>
          <w:sz w:val="24"/>
          <w:szCs w:val="24"/>
          <w:rtl/>
        </w:rPr>
        <w:t xml:space="preserve"> כטענת התובעת בדיון מיום </w:t>
      </w:r>
      <w:r w:rsidR="00FD180D">
        <w:rPr>
          <w:rFonts w:ascii="David" w:hAnsi="David" w:cs="David" w:hint="cs"/>
          <w:sz w:val="24"/>
          <w:szCs w:val="24"/>
          <w:rtl/>
        </w:rPr>
        <w:t>1</w:t>
      </w:r>
      <w:r w:rsidR="00FD180D">
        <w:rPr>
          <w:rFonts w:ascii="David" w:hAnsi="David" w:cs="David"/>
          <w:sz w:val="24"/>
          <w:szCs w:val="24"/>
          <w:rtl/>
        </w:rPr>
        <w:t>8.5.22</w:t>
      </w:r>
      <w:r w:rsidR="00FD180D">
        <w:rPr>
          <w:rFonts w:ascii="David" w:hAnsi="David" w:cs="David" w:hint="cs"/>
          <w:sz w:val="24"/>
          <w:szCs w:val="24"/>
          <w:rtl/>
        </w:rPr>
        <w:t xml:space="preserve"> </w:t>
      </w:r>
      <w:r>
        <w:rPr>
          <w:rFonts w:ascii="David" w:hAnsi="David" w:cs="David"/>
          <w:sz w:val="24"/>
          <w:szCs w:val="24"/>
          <w:rtl/>
        </w:rPr>
        <w:t>(ר' ע' 13 ש' 24-26)</w:t>
      </w:r>
      <w:r w:rsidR="00FD180D">
        <w:rPr>
          <w:rFonts w:ascii="David" w:hAnsi="David" w:cs="David" w:hint="cs"/>
          <w:sz w:val="24"/>
          <w:szCs w:val="24"/>
          <w:rtl/>
        </w:rPr>
        <w:t>,</w:t>
      </w:r>
      <w:r>
        <w:rPr>
          <w:rFonts w:ascii="David" w:hAnsi="David" w:cs="David"/>
          <w:sz w:val="24"/>
          <w:szCs w:val="24"/>
          <w:rtl/>
        </w:rPr>
        <w:t xml:space="preserve"> לא היה מתעורר קושי בהצגת ראיות למכביר. </w:t>
      </w:r>
    </w:p>
    <w:p w:rsidR="004127E0" w:rsidRDefault="004127E0" w:rsidP="004127E0">
      <w:pPr>
        <w:pStyle w:val="ad"/>
        <w:spacing w:line="360" w:lineRule="auto"/>
        <w:ind w:left="360"/>
        <w:jc w:val="both"/>
        <w:rPr>
          <w:rFonts w:ascii="David" w:hAnsi="David" w:cs="David"/>
          <w:sz w:val="24"/>
          <w:szCs w:val="24"/>
        </w:rPr>
      </w:pPr>
    </w:p>
    <w:p w:rsidR="004127E0" w:rsidRDefault="004127E0" w:rsidP="00FD180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למעלה מן הצורך אעיר כי לא מצאתי שהייתה הסתמכות של התובעת על זכויותיה הנטענות בדירה. אין בעבודה כי התובעת בחרה להעביר לדירה מספר פרטי ריהוט </w:t>
      </w:r>
      <w:r w:rsidR="00FD180D">
        <w:rPr>
          <w:rFonts w:ascii="David" w:hAnsi="David" w:cs="David" w:hint="cs"/>
          <w:sz w:val="24"/>
          <w:szCs w:val="24"/>
          <w:rtl/>
        </w:rPr>
        <w:t xml:space="preserve">(אשר לא הוכח ערכם) </w:t>
      </w:r>
      <w:r>
        <w:rPr>
          <w:rFonts w:ascii="David" w:hAnsi="David" w:cs="David"/>
          <w:sz w:val="24"/>
          <w:szCs w:val="24"/>
          <w:rtl/>
        </w:rPr>
        <w:t xml:space="preserve">מעיזבון אמה המנוחה אגב הכשרת הדירה למגורי בנם של הצדדים, כדי ללמד כי התובעת כוונה את צעדיה הכלכליים מתוך הבנה כי הדירה שייכת גם לה. </w:t>
      </w:r>
    </w:p>
    <w:p w:rsidR="004127E0" w:rsidRDefault="004127E0" w:rsidP="004127E0">
      <w:pPr>
        <w:pStyle w:val="ad"/>
        <w:rPr>
          <w:rFonts w:ascii="David" w:hAnsi="David" w:cs="David"/>
          <w:sz w:val="24"/>
          <w:szCs w:val="24"/>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לבסוף יש לתהות בדבר גרסת התובעת אשר מחד מבקשת לראות בדירה שקיבל הנתבע במתנה כנכס משותף לצדדים שכן: "</w:t>
      </w:r>
      <w:r>
        <w:rPr>
          <w:rFonts w:ascii="David" w:hAnsi="David" w:cs="David"/>
          <w:b/>
          <w:bCs/>
          <w:sz w:val="24"/>
          <w:szCs w:val="24"/>
          <w:rtl/>
        </w:rPr>
        <w:t>כל נכס שנרכש במהלך הצדדים הנישואין היה של שנינו...."</w:t>
      </w:r>
      <w:r>
        <w:rPr>
          <w:rFonts w:ascii="David" w:hAnsi="David" w:cs="David"/>
          <w:sz w:val="24"/>
          <w:szCs w:val="24"/>
          <w:rtl/>
        </w:rPr>
        <w:t xml:space="preserve"> (ע' 19 ש' 21-22), אך באותה נשימה גורסת כי אין לחלק את הזכויות שקיבלה היא בירושת אמה המנוחה: "</w:t>
      </w:r>
      <w:r>
        <w:rPr>
          <w:rFonts w:ascii="David" w:hAnsi="David" w:cs="David"/>
          <w:b/>
          <w:bCs/>
          <w:sz w:val="24"/>
          <w:szCs w:val="24"/>
          <w:rtl/>
        </w:rPr>
        <w:t>כשאמי נפטרה קיבלנו כל אחד חלק מהדירה. זה הועבר לחשבון שלי הפרטי. החשבון הפרטי שלי תמיד היה שלי וזה הועבר לשם. כל הכספים שהרווחתי הלכו לטובת הילדים. כשביהמ"ש שואל אותי מה כוונה חשבון פרטי שלי, האם כספים שהצטברו שם שייכים גם לנתבע, אני משיבה שכן. אבל לא הכספי ירושה כי זה ירושה. לעניין כספי ירושה זה נועד לי. ההורים שלי נתנו לי כשהם נפטרו...."</w:t>
      </w:r>
      <w:r>
        <w:rPr>
          <w:rFonts w:ascii="David" w:hAnsi="David" w:cs="David"/>
          <w:sz w:val="24"/>
          <w:szCs w:val="24"/>
          <w:rtl/>
        </w:rPr>
        <w:t xml:space="preserve"> (ר' ע' 23 ש' 15-21).</w:t>
      </w:r>
    </w:p>
    <w:p w:rsidR="004127E0" w:rsidRDefault="004127E0" w:rsidP="004127E0">
      <w:pPr>
        <w:pStyle w:val="ad"/>
        <w:spacing w:line="360" w:lineRule="auto"/>
        <w:ind w:left="360"/>
        <w:jc w:val="both"/>
        <w:rPr>
          <w:rFonts w:ascii="David" w:hAnsi="David" w:cs="David"/>
          <w:sz w:val="24"/>
          <w:szCs w:val="24"/>
        </w:rPr>
      </w:pPr>
      <w:r>
        <w:rPr>
          <w:rFonts w:ascii="David" w:hAnsi="David" w:cs="David"/>
          <w:sz w:val="24"/>
          <w:szCs w:val="24"/>
          <w:rtl/>
        </w:rPr>
        <w:t xml:space="preserve"> </w:t>
      </w:r>
    </w:p>
    <w:p w:rsidR="004127E0" w:rsidRDefault="004127E0" w:rsidP="003D29D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לאור המקובץ נקבע כי דין טענת התובעת לכוונת שיתוף ספציפי בדירה להידחות. התובעת זכאית לקבל מחצית מתשלומי המשכנתא </w:t>
      </w:r>
      <w:r w:rsidR="003D29DE">
        <w:rPr>
          <w:rFonts w:ascii="David" w:hAnsi="David" w:cs="David" w:hint="cs"/>
          <w:sz w:val="24"/>
          <w:szCs w:val="24"/>
          <w:rtl/>
        </w:rPr>
        <w:t xml:space="preserve">בגין הדירה </w:t>
      </w:r>
      <w:r>
        <w:rPr>
          <w:rFonts w:ascii="David" w:hAnsi="David" w:cs="David"/>
          <w:sz w:val="24"/>
          <w:szCs w:val="24"/>
          <w:rtl/>
        </w:rPr>
        <w:t xml:space="preserve">ששולמו מהחשבון המשותף </w:t>
      </w:r>
      <w:r w:rsidR="003D29DE">
        <w:rPr>
          <w:rFonts w:ascii="David" w:hAnsi="David" w:cs="David" w:hint="cs"/>
          <w:sz w:val="24"/>
          <w:szCs w:val="24"/>
          <w:rtl/>
        </w:rPr>
        <w:t>של הצדדים החל משנת 2005</w:t>
      </w:r>
      <w:r>
        <w:rPr>
          <w:rFonts w:ascii="David" w:hAnsi="David" w:cs="David"/>
          <w:sz w:val="24"/>
          <w:szCs w:val="24"/>
          <w:rtl/>
        </w:rPr>
        <w:t xml:space="preserve"> בתוספת הצמדה. </w:t>
      </w:r>
    </w:p>
    <w:p w:rsidR="004127E0" w:rsidRDefault="004127E0" w:rsidP="004127E0">
      <w:pPr>
        <w:spacing w:line="360" w:lineRule="auto"/>
        <w:ind w:left="360" w:hanging="360"/>
        <w:jc w:val="both"/>
        <w:rPr>
          <w:rFonts w:ascii="David" w:hAnsi="David"/>
          <w:b/>
          <w:bCs/>
          <w:u w:val="single"/>
          <w:rtl/>
        </w:rPr>
      </w:pPr>
      <w:r>
        <w:rPr>
          <w:rFonts w:ascii="David" w:hAnsi="David"/>
          <w:b/>
          <w:bCs/>
          <w:u w:val="single"/>
          <w:rtl/>
        </w:rPr>
        <w:t xml:space="preserve">דמי שימוש בגין הנכס המשותף </w:t>
      </w:r>
    </w:p>
    <w:p w:rsidR="004127E0" w:rsidRDefault="004127E0" w:rsidP="004127E0">
      <w:pPr>
        <w:spacing w:line="360" w:lineRule="auto"/>
        <w:ind w:left="360" w:hanging="360"/>
        <w:jc w:val="both"/>
        <w:rPr>
          <w:rFonts w:ascii="David" w:hAnsi="David"/>
          <w:b/>
          <w:bCs/>
          <w:u w:val="single"/>
          <w:rtl/>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אין מחלוקת כי התובעת יצאה מהבית המשותף ביום 1.9.2020. </w:t>
      </w:r>
    </w:p>
    <w:p w:rsidR="004127E0" w:rsidRDefault="004127E0" w:rsidP="004127E0">
      <w:pPr>
        <w:pStyle w:val="ad"/>
        <w:spacing w:line="360" w:lineRule="auto"/>
        <w:ind w:left="360"/>
        <w:jc w:val="both"/>
        <w:rPr>
          <w:rFonts w:ascii="David" w:hAnsi="David" w:cs="David"/>
          <w:sz w:val="24"/>
          <w:szCs w:val="24"/>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חלוקים ביחס לנסיבות עזיבתה של התובעת את הבית. </w:t>
      </w:r>
    </w:p>
    <w:p w:rsidR="004127E0" w:rsidRDefault="004127E0" w:rsidP="004127E0">
      <w:pPr>
        <w:pStyle w:val="ad"/>
        <w:rPr>
          <w:rFonts w:ascii="David" w:hAnsi="David" w:cs="David"/>
          <w:sz w:val="24"/>
          <w:szCs w:val="24"/>
          <w:rtl/>
        </w:rPr>
      </w:pPr>
    </w:p>
    <w:p w:rsidR="004127E0" w:rsidRDefault="004127E0" w:rsidP="003D29DE">
      <w:pPr>
        <w:pStyle w:val="ad"/>
        <w:spacing w:line="360" w:lineRule="auto"/>
        <w:ind w:left="360"/>
        <w:jc w:val="both"/>
        <w:rPr>
          <w:rFonts w:ascii="David" w:hAnsi="David" w:cs="David"/>
          <w:sz w:val="24"/>
          <w:szCs w:val="24"/>
          <w:rtl/>
        </w:rPr>
      </w:pPr>
      <w:r>
        <w:rPr>
          <w:rFonts w:ascii="David" w:hAnsi="David" w:cs="David"/>
          <w:sz w:val="24"/>
          <w:szCs w:val="24"/>
          <w:u w:val="single"/>
          <w:rtl/>
        </w:rPr>
        <w:t>לטענת התובעת</w:t>
      </w:r>
      <w:r>
        <w:rPr>
          <w:rFonts w:ascii="David" w:hAnsi="David" w:cs="David"/>
          <w:sz w:val="24"/>
          <w:szCs w:val="24"/>
          <w:rtl/>
        </w:rPr>
        <w:t xml:space="preserve">, היא "נאלצה למלט נפשה ולשכור דירה אחרת" לאחר שהנתבע הפך את חייה לבלתי נסבלים. עוד ולגרסתה במועד עזיבתה הנתבע החליף צילינדר  של הכניסה לבית כך שנמנעה ממנה האפשרות לשוב ולהתגורר שם ואף נמנע ממנה איסוף חפציה האישיים. </w:t>
      </w:r>
    </w:p>
    <w:p w:rsidR="004127E0" w:rsidRDefault="004127E0" w:rsidP="003D29DE">
      <w:pPr>
        <w:pStyle w:val="ad"/>
        <w:spacing w:line="360" w:lineRule="auto"/>
        <w:ind w:left="360"/>
        <w:jc w:val="both"/>
        <w:rPr>
          <w:rFonts w:ascii="David" w:hAnsi="David" w:cs="David"/>
          <w:sz w:val="24"/>
          <w:szCs w:val="24"/>
          <w:rtl/>
        </w:rPr>
      </w:pPr>
      <w:r>
        <w:rPr>
          <w:rFonts w:ascii="David" w:hAnsi="David" w:cs="David"/>
          <w:sz w:val="24"/>
          <w:szCs w:val="24"/>
          <w:rtl/>
        </w:rPr>
        <w:t xml:space="preserve">התובעת עותרת לחייב </w:t>
      </w:r>
      <w:r w:rsidR="003D29DE">
        <w:rPr>
          <w:rFonts w:ascii="David" w:hAnsi="David" w:cs="David" w:hint="cs"/>
          <w:sz w:val="24"/>
          <w:szCs w:val="24"/>
          <w:rtl/>
        </w:rPr>
        <w:t xml:space="preserve">את </w:t>
      </w:r>
      <w:r>
        <w:rPr>
          <w:rFonts w:ascii="David" w:hAnsi="David" w:cs="David"/>
          <w:sz w:val="24"/>
          <w:szCs w:val="24"/>
          <w:rtl/>
        </w:rPr>
        <w:t>הנתבע בתשלום דמי שימוש ראויים ממועד יציאתה (</w:t>
      </w:r>
      <w:r w:rsidR="003D29DE">
        <w:rPr>
          <w:rFonts w:ascii="David" w:hAnsi="David" w:cs="David" w:hint="cs"/>
          <w:sz w:val="24"/>
          <w:szCs w:val="24"/>
          <w:rtl/>
        </w:rPr>
        <w:t>9</w:t>
      </w:r>
      <w:r w:rsidR="003D29DE">
        <w:rPr>
          <w:rFonts w:ascii="David" w:hAnsi="David" w:cs="David"/>
          <w:sz w:val="24"/>
          <w:szCs w:val="24"/>
          <w:rtl/>
        </w:rPr>
        <w:t>/20) ועד מכר הדירה (</w:t>
      </w:r>
      <w:r w:rsidR="003D29DE">
        <w:rPr>
          <w:rFonts w:ascii="David" w:hAnsi="David" w:cs="David" w:hint="cs"/>
          <w:sz w:val="24"/>
          <w:szCs w:val="24"/>
          <w:rtl/>
        </w:rPr>
        <w:t>6/21</w:t>
      </w:r>
      <w:r>
        <w:rPr>
          <w:rFonts w:ascii="David" w:hAnsi="David" w:cs="David"/>
          <w:sz w:val="24"/>
          <w:szCs w:val="24"/>
          <w:rtl/>
        </w:rPr>
        <w:t xml:space="preserve">) בסך כולל של 19,500 ₪ (1950 ₪ לחודש) בהתאם לחוות דעת שמאי שצירפה מטעמה. </w:t>
      </w:r>
    </w:p>
    <w:p w:rsidR="004127E0" w:rsidRDefault="004127E0" w:rsidP="004127E0">
      <w:pPr>
        <w:pStyle w:val="ad"/>
        <w:rPr>
          <w:rFonts w:ascii="David" w:hAnsi="David" w:cs="David"/>
          <w:sz w:val="24"/>
          <w:szCs w:val="24"/>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u w:val="single"/>
          <w:rtl/>
        </w:rPr>
        <w:t>לטענת הנתבע</w:t>
      </w:r>
      <w:r>
        <w:rPr>
          <w:rFonts w:ascii="David" w:hAnsi="David" w:cs="David"/>
          <w:sz w:val="24"/>
          <w:szCs w:val="24"/>
          <w:rtl/>
        </w:rPr>
        <w:t xml:space="preserve"> </w:t>
      </w:r>
      <w:r w:rsidR="003D29DE">
        <w:rPr>
          <w:rFonts w:ascii="David" w:hAnsi="David" w:cs="David" w:hint="cs"/>
          <w:sz w:val="24"/>
          <w:szCs w:val="24"/>
          <w:rtl/>
        </w:rPr>
        <w:t xml:space="preserve">הוא </w:t>
      </w:r>
      <w:r>
        <w:rPr>
          <w:rFonts w:ascii="David" w:hAnsi="David" w:cs="David"/>
          <w:sz w:val="24"/>
          <w:szCs w:val="24"/>
          <w:rtl/>
        </w:rPr>
        <w:t xml:space="preserve">לא נקט בכל אלימות כנגד התובעת. לדידו די בכך כי התובעת הוסיפה להתגורר עמו בבית משך </w:t>
      </w:r>
      <w:r w:rsidR="003D29DE">
        <w:rPr>
          <w:rFonts w:ascii="David" w:hAnsi="David" w:cs="David" w:hint="cs"/>
          <w:sz w:val="24"/>
          <w:szCs w:val="24"/>
          <w:rtl/>
        </w:rPr>
        <w:t>כ</w:t>
      </w:r>
      <w:r>
        <w:rPr>
          <w:rFonts w:ascii="David" w:hAnsi="David" w:cs="David"/>
          <w:sz w:val="24"/>
          <w:szCs w:val="24"/>
          <w:rtl/>
        </w:rPr>
        <w:t>שנתיים ימים לאחר מתן צו פירוק שיתוף בדירה כדי ללמד כי אין כל ממש בטענתה לחיים בצל אלימות מצדו.</w:t>
      </w:r>
    </w:p>
    <w:p w:rsidR="004127E0" w:rsidRDefault="004127E0" w:rsidP="004127E0">
      <w:pPr>
        <w:pStyle w:val="ad"/>
        <w:spacing w:line="360" w:lineRule="auto"/>
        <w:ind w:left="360"/>
        <w:jc w:val="both"/>
        <w:rPr>
          <w:rFonts w:ascii="David" w:hAnsi="David" w:cs="David"/>
          <w:sz w:val="24"/>
          <w:szCs w:val="24"/>
        </w:rPr>
      </w:pPr>
      <w:r>
        <w:rPr>
          <w:rFonts w:ascii="David" w:hAnsi="David" w:cs="David"/>
          <w:sz w:val="24"/>
          <w:szCs w:val="24"/>
          <w:rtl/>
        </w:rPr>
        <w:t xml:space="preserve">הנתבע אינו מכחיש דבר החלפת הצילינדר אם כי לגרסתו הדבר נעשה לאחר שהתובעת שכרה דירה למגוריה ונטלה רכוש רב מהדירה בצעד חד צדדי ומתוך מחשבה למנוע ריקון תכולת הבית ידה והכל תוך עדכון ב"כ התובעת ואגב הסכמה על חלוקת המיטלטלין. </w:t>
      </w:r>
    </w:p>
    <w:p w:rsidR="004127E0" w:rsidRDefault="004127E0" w:rsidP="003D29DE">
      <w:pPr>
        <w:pStyle w:val="ad"/>
        <w:spacing w:line="360" w:lineRule="auto"/>
        <w:ind w:left="360"/>
        <w:jc w:val="both"/>
        <w:rPr>
          <w:rFonts w:ascii="David" w:hAnsi="David" w:cs="David"/>
          <w:sz w:val="24"/>
          <w:szCs w:val="24"/>
          <w:rtl/>
        </w:rPr>
      </w:pPr>
      <w:r>
        <w:rPr>
          <w:rFonts w:ascii="David" w:hAnsi="David" w:cs="David"/>
          <w:sz w:val="24"/>
          <w:szCs w:val="24"/>
          <w:rtl/>
        </w:rPr>
        <w:t xml:space="preserve"> הנתבע מעולם לא התנגד לקדם מכירת הנכס המשותף ואף יזם בעצמו הליך לפירוק השיתוף (תלה"מ 4429-10-18) במסגרתו ניתן צו לפירוק השיתוף בהסכמה כבר בדיון הראשון תוך מתן הוראות בקשר לכינוס נכסים בתם </w:t>
      </w:r>
      <w:r w:rsidR="003D29DE">
        <w:rPr>
          <w:rFonts w:ascii="David" w:hAnsi="David" w:cs="David" w:hint="cs"/>
          <w:sz w:val="24"/>
          <w:szCs w:val="24"/>
          <w:rtl/>
        </w:rPr>
        <w:t>שלושה</w:t>
      </w:r>
      <w:r>
        <w:rPr>
          <w:rFonts w:ascii="David" w:hAnsi="David" w:cs="David"/>
          <w:sz w:val="24"/>
          <w:szCs w:val="24"/>
          <w:rtl/>
        </w:rPr>
        <w:t xml:space="preserve"> חודשי מכר עצמי. </w:t>
      </w:r>
    </w:p>
    <w:p w:rsidR="004127E0" w:rsidRDefault="004127E0" w:rsidP="004127E0">
      <w:pPr>
        <w:pStyle w:val="ad"/>
        <w:spacing w:line="360" w:lineRule="auto"/>
        <w:ind w:left="360"/>
        <w:jc w:val="both"/>
        <w:rPr>
          <w:rFonts w:ascii="David" w:hAnsi="David" w:cs="David"/>
          <w:sz w:val="24"/>
          <w:szCs w:val="24"/>
          <w:rtl/>
        </w:rPr>
      </w:pPr>
      <w:r>
        <w:rPr>
          <w:rFonts w:ascii="David" w:hAnsi="David" w:cs="David"/>
          <w:sz w:val="24"/>
          <w:szCs w:val="24"/>
          <w:rtl/>
        </w:rPr>
        <w:t>לעמדת הנתבע יש לדחות חוות הדעת עליה התבססה התובעת לקביעת שווי דמי השימוש שכן הוגשה בניגוד לתקנה 25(ח) ל</w:t>
      </w:r>
      <w:r>
        <w:rPr>
          <w:rFonts w:ascii="David" w:hAnsi="David" w:cs="David"/>
          <w:b/>
          <w:bCs/>
          <w:sz w:val="24"/>
          <w:szCs w:val="24"/>
          <w:rtl/>
        </w:rPr>
        <w:t xml:space="preserve">תקנות בית המשפט לענייני משפחה (סדרי דין), תשפ"א- </w:t>
      </w:r>
      <w:r>
        <w:rPr>
          <w:rFonts w:ascii="David" w:hAnsi="David" w:cs="David"/>
          <w:sz w:val="24"/>
          <w:szCs w:val="24"/>
          <w:rtl/>
        </w:rPr>
        <w:t>2020 הקובעת כי בעל דין לא יגיש חוות דעת של מומחה מטעמו אלא באישור בית המשפט.</w:t>
      </w:r>
    </w:p>
    <w:p w:rsidR="004127E0" w:rsidRDefault="004127E0" w:rsidP="004127E0">
      <w:pPr>
        <w:pStyle w:val="ad"/>
        <w:spacing w:line="360" w:lineRule="auto"/>
        <w:jc w:val="both"/>
        <w:rPr>
          <w:rFonts w:ascii="David" w:hAnsi="David" w:cs="David"/>
          <w:sz w:val="24"/>
          <w:szCs w:val="24"/>
          <w:rtl/>
        </w:rPr>
      </w:pPr>
    </w:p>
    <w:p w:rsidR="004127E0" w:rsidRDefault="004127E0" w:rsidP="004127E0">
      <w:pPr>
        <w:pStyle w:val="ad"/>
        <w:spacing w:line="360" w:lineRule="auto"/>
        <w:ind w:left="360" w:hanging="360"/>
        <w:jc w:val="both"/>
        <w:rPr>
          <w:rFonts w:ascii="David" w:hAnsi="David" w:cs="David"/>
          <w:b/>
          <w:bCs/>
          <w:sz w:val="24"/>
          <w:szCs w:val="24"/>
          <w:u w:val="single"/>
        </w:rPr>
      </w:pPr>
      <w:r>
        <w:rPr>
          <w:rFonts w:ascii="David" w:hAnsi="David" w:cs="David"/>
          <w:b/>
          <w:bCs/>
          <w:sz w:val="24"/>
          <w:szCs w:val="24"/>
          <w:u w:val="single"/>
          <w:rtl/>
        </w:rPr>
        <w:t xml:space="preserve">דיון והכרעה </w:t>
      </w:r>
    </w:p>
    <w:p w:rsidR="004127E0" w:rsidRDefault="004127E0" w:rsidP="004127E0">
      <w:pPr>
        <w:pStyle w:val="ad"/>
        <w:spacing w:line="360" w:lineRule="auto"/>
        <w:ind w:left="360" w:hanging="360"/>
        <w:jc w:val="both"/>
        <w:rPr>
          <w:rFonts w:ascii="David" w:hAnsi="David" w:cs="David"/>
          <w:b/>
          <w:bCs/>
          <w:sz w:val="24"/>
          <w:szCs w:val="24"/>
          <w:u w:val="single"/>
          <w:rtl/>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תובענה לדמי שימוש ראויים נובעת מסע' 33 </w:t>
      </w:r>
      <w:r>
        <w:rPr>
          <w:rFonts w:ascii="David" w:hAnsi="David" w:cs="David"/>
          <w:b/>
          <w:bCs/>
          <w:sz w:val="24"/>
          <w:szCs w:val="24"/>
          <w:rtl/>
        </w:rPr>
        <w:t xml:space="preserve">לחוק המקרקעין, התשכ"ט – 1969, </w:t>
      </w:r>
      <w:r>
        <w:rPr>
          <w:rFonts w:ascii="David" w:hAnsi="David" w:cs="David"/>
          <w:sz w:val="24"/>
          <w:szCs w:val="24"/>
          <w:rtl/>
        </w:rPr>
        <w:t>הקובע כי "שותף שהשתמש במקרקעין משותפים חייב ליתר השותפים, לפי חלקיהם במקרקעין, שכר ראוי בעד השימוש".</w:t>
      </w:r>
    </w:p>
    <w:p w:rsidR="004127E0" w:rsidRDefault="004127E0" w:rsidP="004127E0">
      <w:pPr>
        <w:pStyle w:val="ad"/>
        <w:spacing w:line="360" w:lineRule="auto"/>
        <w:ind w:left="360"/>
        <w:jc w:val="both"/>
        <w:rPr>
          <w:rFonts w:ascii="David" w:hAnsi="David" w:cs="David"/>
          <w:sz w:val="24"/>
          <w:szCs w:val="24"/>
        </w:rPr>
      </w:pPr>
    </w:p>
    <w:p w:rsidR="004127E0" w:rsidRDefault="004127E0" w:rsidP="004127E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בע"א 1492/90 </w:t>
      </w:r>
      <w:r>
        <w:rPr>
          <w:rFonts w:ascii="David" w:hAnsi="David" w:cs="David"/>
          <w:b/>
          <w:bCs/>
          <w:sz w:val="24"/>
          <w:szCs w:val="24"/>
          <w:rtl/>
        </w:rPr>
        <w:t>נאיפה סעיד זרקא נ' סלמאן פארס</w:t>
      </w:r>
      <w:r>
        <w:rPr>
          <w:rFonts w:ascii="David" w:hAnsi="David" w:cs="David"/>
          <w:sz w:val="24"/>
          <w:szCs w:val="24"/>
          <w:rtl/>
        </w:rPr>
        <w:t xml:space="preserve"> (נבו, 20.1.93) נקבע, כי החובה לשלם דמי שימוש ראויים קיימת "...</w:t>
      </w:r>
      <w:r>
        <w:rPr>
          <w:rFonts w:ascii="David" w:hAnsi="David" w:cs="David"/>
          <w:b/>
          <w:bCs/>
          <w:sz w:val="24"/>
          <w:szCs w:val="24"/>
          <w:rtl/>
        </w:rPr>
        <w:t>רק כאשר השותף האחד השתמש במקרקעין באופן בלעדי, באופן שנמנע מיתר השותפים להשתמש אף הם באותם מקרקעין. היה ולא נמנע השימוש הזה מיתר השותפים, גם כאשר הם לא השתמשו במקרקעין בפועל, אין השותף חייב בתשלום כלשהו ליתר השותפים</w:t>
      </w:r>
      <w:r>
        <w:rPr>
          <w:rFonts w:ascii="David" w:hAnsi="David" w:cs="David"/>
          <w:sz w:val="24"/>
          <w:szCs w:val="24"/>
          <w:rtl/>
        </w:rPr>
        <w:t>".</w:t>
      </w:r>
    </w:p>
    <w:p w:rsidR="004127E0" w:rsidRDefault="004127E0" w:rsidP="004127E0">
      <w:pPr>
        <w:pStyle w:val="ad"/>
        <w:rPr>
          <w:rFonts w:ascii="David" w:hAnsi="David" w:cs="David"/>
          <w:sz w:val="24"/>
          <w:szCs w:val="24"/>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כן נקבע כי בן זוג העוזב מרצונו את דירת המגורים אינו זכאי לדמי שימוש ראויים וכי אמנם כאשר אחד מבני הזוג מואס בקשר הנישואין אין לחייבו להמשיך לגור עם בן זוגו תחת קורת גג אחת, אולם אין פירושו של דבר שבן הזוג הנשאר בדירה הופך באחת לשוכר בעל כורחו. </w:t>
      </w:r>
    </w:p>
    <w:p w:rsidR="004127E0" w:rsidRDefault="004127E0" w:rsidP="004127E0">
      <w:pPr>
        <w:pStyle w:val="ad"/>
        <w:rPr>
          <w:rFonts w:ascii="David" w:hAnsi="David" w:cs="David"/>
          <w:sz w:val="24"/>
          <w:szCs w:val="24"/>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נטל השכנוע להוכיח כי נמנע שימוש במקרקעין עומד לפתחו של הטוען לכך. </w:t>
      </w:r>
    </w:p>
    <w:p w:rsidR="004127E0" w:rsidRDefault="004127E0" w:rsidP="004127E0">
      <w:pPr>
        <w:pStyle w:val="ad"/>
        <w:rPr>
          <w:rFonts w:ascii="David" w:hAnsi="David" w:cs="David"/>
          <w:sz w:val="24"/>
          <w:szCs w:val="24"/>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כפי שיובהר להלן התובעת לא הרימה את הנטל המונח לפתחה. גרסתה התאפיינה בחוסר עקביות ובחוסר קוהרנטיות .</w:t>
      </w:r>
    </w:p>
    <w:p w:rsidR="004127E0" w:rsidRDefault="004127E0" w:rsidP="004127E0">
      <w:pPr>
        <w:pStyle w:val="ad"/>
        <w:rPr>
          <w:rFonts w:ascii="David" w:hAnsi="David" w:cs="David"/>
          <w:sz w:val="24"/>
          <w:szCs w:val="24"/>
        </w:rPr>
      </w:pPr>
    </w:p>
    <w:p w:rsidR="004127E0" w:rsidRDefault="004127E0" w:rsidP="008E6E48">
      <w:pPr>
        <w:pStyle w:val="ad"/>
        <w:numPr>
          <w:ilvl w:val="0"/>
          <w:numId w:val="1"/>
        </w:numPr>
        <w:spacing w:line="360" w:lineRule="auto"/>
        <w:jc w:val="both"/>
        <w:rPr>
          <w:rFonts w:ascii="David" w:hAnsi="David" w:cs="David"/>
          <w:sz w:val="24"/>
          <w:szCs w:val="24"/>
          <w:rtl/>
        </w:rPr>
      </w:pPr>
      <w:r>
        <w:rPr>
          <w:rFonts w:ascii="David" w:hAnsi="David" w:cs="David"/>
          <w:sz w:val="24"/>
          <w:szCs w:val="24"/>
          <w:rtl/>
        </w:rPr>
        <w:t>את טענותיה בדבר מסכת אלימה מצד הנתבע ביקשה לתמוך בצילום ידית שבורה של דלת חדרה, פתק</w:t>
      </w:r>
      <w:r w:rsidR="008E6E48">
        <w:rPr>
          <w:rFonts w:ascii="David" w:hAnsi="David" w:cs="David" w:hint="cs"/>
          <w:sz w:val="24"/>
          <w:szCs w:val="24"/>
          <w:rtl/>
        </w:rPr>
        <w:t>ים</w:t>
      </w:r>
      <w:r>
        <w:rPr>
          <w:rFonts w:ascii="David" w:hAnsi="David" w:cs="David"/>
          <w:sz w:val="24"/>
          <w:szCs w:val="24"/>
          <w:rtl/>
        </w:rPr>
        <w:t xml:space="preserve"> שהשאיר לה לכאורה הנתבע ומכתב ממטפלת הומאופתית בו צוין כי התובעת סובלת מחרדות שונות שהם תוצר של התנהגות הנתבע כלפיה.</w:t>
      </w:r>
    </w:p>
    <w:p w:rsidR="004127E0" w:rsidRDefault="004127E0" w:rsidP="004127E0">
      <w:pPr>
        <w:pStyle w:val="ad"/>
        <w:rPr>
          <w:rFonts w:ascii="David" w:hAnsi="David" w:cs="David"/>
          <w:sz w:val="24"/>
          <w:szCs w:val="24"/>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ודוק, לאחר עיון בכלל המידע שהונח לפני וכן שמיעת עדויות הצדדים אין בידי לקבוע כל ממצא עובדתי בקשר עם טענת התובעת לעזיבת הבית על רקע נקיטת אלימות מצד הנתבע.</w:t>
      </w:r>
    </w:p>
    <w:p w:rsidR="004127E0" w:rsidRDefault="004127E0" w:rsidP="004127E0">
      <w:pPr>
        <w:pStyle w:val="ad"/>
        <w:rPr>
          <w:rFonts w:ascii="David" w:hAnsi="David" w:cs="David"/>
          <w:sz w:val="24"/>
          <w:szCs w:val="24"/>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גרסת התובעת בדבר שבירת ידית החדר נותרה מעורפלת ובלתי מבוארת. התובעת התקשתה לציין מתי התרחש אותו</w:t>
      </w:r>
      <w:r w:rsidR="008E6E48">
        <w:rPr>
          <w:rFonts w:ascii="David" w:hAnsi="David" w:cs="David"/>
          <w:sz w:val="24"/>
          <w:szCs w:val="24"/>
          <w:rtl/>
        </w:rPr>
        <w:t xml:space="preserve"> אירוע אף בקירוב או באופן משוער</w:t>
      </w:r>
      <w:r>
        <w:rPr>
          <w:rFonts w:ascii="David" w:hAnsi="David" w:cs="David"/>
          <w:sz w:val="24"/>
          <w:szCs w:val="24"/>
          <w:rtl/>
        </w:rPr>
        <w:t xml:space="preserve"> (ר' עמ' 18 ש' 24-26 ועמ' 19 ש' 1-4)</w:t>
      </w:r>
      <w:r w:rsidR="008E6E48">
        <w:rPr>
          <w:rFonts w:ascii="David" w:hAnsi="David" w:cs="David" w:hint="cs"/>
          <w:sz w:val="24"/>
          <w:szCs w:val="24"/>
          <w:rtl/>
        </w:rPr>
        <w:t>.</w:t>
      </w:r>
    </w:p>
    <w:p w:rsidR="004127E0" w:rsidRDefault="004127E0" w:rsidP="004127E0">
      <w:pPr>
        <w:pStyle w:val="ad"/>
        <w:rPr>
          <w:rFonts w:ascii="David" w:hAnsi="David" w:cs="David"/>
          <w:sz w:val="24"/>
          <w:szCs w:val="24"/>
        </w:rPr>
      </w:pPr>
    </w:p>
    <w:p w:rsidR="004127E0" w:rsidRDefault="004127E0" w:rsidP="009303F8">
      <w:pPr>
        <w:pStyle w:val="ad"/>
        <w:numPr>
          <w:ilvl w:val="0"/>
          <w:numId w:val="1"/>
        </w:numPr>
        <w:spacing w:line="360" w:lineRule="auto"/>
        <w:jc w:val="both"/>
        <w:rPr>
          <w:rFonts w:ascii="David" w:hAnsi="David" w:cs="David"/>
          <w:sz w:val="24"/>
          <w:szCs w:val="24"/>
          <w:rtl/>
        </w:rPr>
      </w:pPr>
      <w:r>
        <w:rPr>
          <w:rFonts w:ascii="David" w:hAnsi="David" w:cs="David"/>
          <w:sz w:val="24"/>
          <w:szCs w:val="24"/>
          <w:rtl/>
        </w:rPr>
        <w:t>אין חולק כי התובעת לא פנתה להגיש תלונה במשטרת ישראל</w:t>
      </w:r>
      <w:r w:rsidR="008E6E48">
        <w:rPr>
          <w:rFonts w:ascii="David" w:hAnsi="David" w:cs="David" w:hint="cs"/>
          <w:sz w:val="24"/>
          <w:szCs w:val="24"/>
          <w:rtl/>
        </w:rPr>
        <w:t>,</w:t>
      </w:r>
      <w:r>
        <w:rPr>
          <w:rFonts w:ascii="David" w:hAnsi="David" w:cs="David"/>
          <w:sz w:val="24"/>
          <w:szCs w:val="24"/>
          <w:rtl/>
        </w:rPr>
        <w:t xml:space="preserve"> לגרסתה כדי שלא לפגוע במקום עבודתו של הנתבע אשר </w:t>
      </w:r>
      <w:r w:rsidR="008E6E48">
        <w:rPr>
          <w:rFonts w:ascii="David" w:hAnsi="David" w:cs="David"/>
          <w:sz w:val="24"/>
          <w:szCs w:val="24"/>
          <w:rtl/>
        </w:rPr>
        <w:t xml:space="preserve">הועסק </w:t>
      </w:r>
      <w:r w:rsidR="005A2658">
        <w:rPr>
          <w:rFonts w:ascii="David" w:hAnsi="David" w:cs="David" w:hint="cs"/>
          <w:sz w:val="24"/>
          <w:szCs w:val="24"/>
          <w:rtl/>
        </w:rPr>
        <w:t>כ</w:t>
      </w:r>
      <w:r w:rsidR="009303F8">
        <w:rPr>
          <w:rFonts w:ascii="David" w:hAnsi="David" w:cs="David" w:hint="cs"/>
          <w:sz w:val="24"/>
          <w:szCs w:val="24"/>
          <w:rtl/>
        </w:rPr>
        <w:t>***</w:t>
      </w:r>
      <w:r w:rsidR="008E6E48">
        <w:rPr>
          <w:rFonts w:ascii="David" w:hAnsi="David" w:cs="David"/>
          <w:sz w:val="24"/>
          <w:szCs w:val="24"/>
          <w:rtl/>
        </w:rPr>
        <w:t xml:space="preserve">. אלא שהנתבע </w:t>
      </w:r>
      <w:r w:rsidR="008E6E48">
        <w:rPr>
          <w:rFonts w:ascii="David" w:hAnsi="David" w:cs="David" w:hint="cs"/>
          <w:sz w:val="24"/>
          <w:szCs w:val="24"/>
          <w:rtl/>
        </w:rPr>
        <w:t xml:space="preserve">על פי עדות התובעת </w:t>
      </w:r>
      <w:r w:rsidR="008E6E48">
        <w:rPr>
          <w:rFonts w:ascii="David" w:hAnsi="David" w:cs="David"/>
          <w:sz w:val="24"/>
          <w:szCs w:val="24"/>
          <w:rtl/>
        </w:rPr>
        <w:t>פרש</w:t>
      </w:r>
      <w:r>
        <w:rPr>
          <w:rFonts w:ascii="David" w:hAnsi="David" w:cs="David"/>
          <w:sz w:val="24"/>
          <w:szCs w:val="24"/>
          <w:rtl/>
        </w:rPr>
        <w:t xml:space="preserve"> מ</w:t>
      </w:r>
      <w:r w:rsidR="009303F8">
        <w:rPr>
          <w:rFonts w:ascii="David" w:hAnsi="David" w:cs="David" w:hint="cs"/>
          <w:sz w:val="24"/>
          <w:szCs w:val="24"/>
          <w:rtl/>
        </w:rPr>
        <w:t>**</w:t>
      </w:r>
      <w:r w:rsidR="008E6E48">
        <w:rPr>
          <w:rFonts w:ascii="David" w:hAnsi="David" w:cs="David"/>
          <w:sz w:val="24"/>
          <w:szCs w:val="24"/>
          <w:rtl/>
        </w:rPr>
        <w:t xml:space="preserve"> כבר בשנת 2009 (עמ' 26 ש' 1-2)</w:t>
      </w:r>
      <w:r w:rsidR="008E6E48">
        <w:rPr>
          <w:rFonts w:ascii="David" w:hAnsi="David" w:cs="David" w:hint="cs"/>
          <w:sz w:val="24"/>
          <w:szCs w:val="24"/>
          <w:rtl/>
        </w:rPr>
        <w:t xml:space="preserve">, </w:t>
      </w:r>
      <w:r>
        <w:rPr>
          <w:rFonts w:ascii="David" w:hAnsi="David" w:cs="David"/>
          <w:sz w:val="24"/>
          <w:szCs w:val="24"/>
          <w:rtl/>
        </w:rPr>
        <w:t>מכאן שלא ניתן כל הסבר מדוע זה החרישה התובעת גם שנים רבות לאחר מכן.</w:t>
      </w:r>
    </w:p>
    <w:p w:rsidR="004127E0" w:rsidRDefault="004127E0" w:rsidP="004127E0">
      <w:pPr>
        <w:pStyle w:val="ad"/>
        <w:rPr>
          <w:rFonts w:ascii="David" w:hAnsi="David" w:cs="David"/>
          <w:sz w:val="24"/>
          <w:szCs w:val="24"/>
        </w:rPr>
      </w:pPr>
    </w:p>
    <w:p w:rsidR="004127E0" w:rsidRDefault="004127E0" w:rsidP="008E6E48">
      <w:pPr>
        <w:pStyle w:val="ad"/>
        <w:numPr>
          <w:ilvl w:val="0"/>
          <w:numId w:val="1"/>
        </w:numPr>
        <w:spacing w:line="360" w:lineRule="auto"/>
        <w:jc w:val="both"/>
        <w:rPr>
          <w:rFonts w:ascii="David" w:hAnsi="David" w:cs="David"/>
          <w:sz w:val="24"/>
          <w:szCs w:val="24"/>
          <w:rtl/>
        </w:rPr>
      </w:pPr>
      <w:r>
        <w:rPr>
          <w:rFonts w:ascii="David" w:hAnsi="David" w:cs="David"/>
          <w:sz w:val="24"/>
          <w:szCs w:val="24"/>
          <w:rtl/>
        </w:rPr>
        <w:t>כך ובנוסף אין בפתקים שצורפו (נספחים ג' ד' לכתב התביעה), ככל שאמנם נכתבו על ידי הנתבע,   כדי ללמד על אודות אותה מסכת אלימה לה טוענת התובעת. לכל היותר יש בכך ללמד על מתיחות ששררה בין הצדדים אגב ו</w:t>
      </w:r>
      <w:r w:rsidR="008E6E48">
        <w:rPr>
          <w:rFonts w:ascii="David" w:hAnsi="David" w:cs="David"/>
          <w:sz w:val="24"/>
          <w:szCs w:val="24"/>
          <w:rtl/>
        </w:rPr>
        <w:t>לאורו של הליך הגירושין אשר בעטי</w:t>
      </w:r>
      <w:r w:rsidR="008E6E48">
        <w:rPr>
          <w:rFonts w:ascii="David" w:hAnsi="David" w:cs="David" w:hint="cs"/>
          <w:sz w:val="24"/>
          <w:szCs w:val="24"/>
          <w:rtl/>
        </w:rPr>
        <w:t>ו</w:t>
      </w:r>
      <w:r>
        <w:rPr>
          <w:rFonts w:ascii="David" w:hAnsi="David" w:cs="David"/>
          <w:sz w:val="24"/>
          <w:szCs w:val="24"/>
          <w:rtl/>
        </w:rPr>
        <w:t xml:space="preserve"> הצדדים גם הפרידו מגורים בתוך הבית כשהתובעת נשארת לישון בחדר השינה והנתבע </w:t>
      </w:r>
      <w:r w:rsidR="008E6E48">
        <w:rPr>
          <w:rFonts w:ascii="David" w:hAnsi="David" w:cs="David" w:hint="cs"/>
          <w:sz w:val="24"/>
          <w:szCs w:val="24"/>
          <w:rtl/>
        </w:rPr>
        <w:t>בחדר אחר</w:t>
      </w:r>
      <w:r>
        <w:rPr>
          <w:rFonts w:ascii="David" w:hAnsi="David" w:cs="David"/>
          <w:sz w:val="24"/>
          <w:szCs w:val="24"/>
          <w:rtl/>
        </w:rPr>
        <w:t>. תמלילי שיחות בין השניים מלמדים על פניו על התנהלות פורצת גבולות דווקא מכיוונה של התובעת</w:t>
      </w:r>
      <w:r w:rsidR="008E6E48">
        <w:rPr>
          <w:rFonts w:ascii="David" w:hAnsi="David" w:cs="David" w:hint="cs"/>
          <w:sz w:val="24"/>
          <w:szCs w:val="24"/>
          <w:rtl/>
        </w:rPr>
        <w:t xml:space="preserve"> </w:t>
      </w:r>
      <w:r w:rsidR="008E6E48">
        <w:rPr>
          <w:rFonts w:ascii="David" w:hAnsi="David" w:cs="David"/>
          <w:sz w:val="24"/>
          <w:szCs w:val="24"/>
          <w:rtl/>
        </w:rPr>
        <w:t>(</w:t>
      </w:r>
      <w:r w:rsidR="008E6E48">
        <w:rPr>
          <w:rFonts w:ascii="David" w:hAnsi="David" w:cs="David" w:hint="cs"/>
          <w:sz w:val="24"/>
          <w:szCs w:val="24"/>
          <w:rtl/>
        </w:rPr>
        <w:t>ר'</w:t>
      </w:r>
      <w:r w:rsidR="008E6E48">
        <w:rPr>
          <w:rFonts w:ascii="David" w:hAnsi="David" w:cs="David"/>
          <w:sz w:val="24"/>
          <w:szCs w:val="24"/>
          <w:rtl/>
        </w:rPr>
        <w:t xml:space="preserve"> נספח ה' לכתב </w:t>
      </w:r>
      <w:r w:rsidR="008E6E48">
        <w:rPr>
          <w:rFonts w:ascii="David" w:hAnsi="David" w:cs="David" w:hint="cs"/>
          <w:sz w:val="24"/>
          <w:szCs w:val="24"/>
          <w:rtl/>
        </w:rPr>
        <w:t>ההגנה</w:t>
      </w:r>
      <w:r w:rsidR="008E6E48">
        <w:rPr>
          <w:rFonts w:ascii="David" w:hAnsi="David" w:cs="David"/>
          <w:sz w:val="24"/>
          <w:szCs w:val="24"/>
          <w:rtl/>
        </w:rPr>
        <w:t>)</w:t>
      </w:r>
      <w:r>
        <w:rPr>
          <w:rFonts w:ascii="David" w:hAnsi="David" w:cs="David"/>
          <w:sz w:val="24"/>
          <w:szCs w:val="24"/>
          <w:rtl/>
        </w:rPr>
        <w:t>.</w:t>
      </w:r>
    </w:p>
    <w:p w:rsidR="004127E0" w:rsidRDefault="004127E0" w:rsidP="004127E0">
      <w:pPr>
        <w:pStyle w:val="ad"/>
        <w:rPr>
          <w:rFonts w:ascii="David" w:hAnsi="David" w:cs="David"/>
          <w:sz w:val="24"/>
          <w:szCs w:val="24"/>
        </w:rPr>
      </w:pPr>
    </w:p>
    <w:p w:rsidR="004127E0" w:rsidRDefault="004127E0" w:rsidP="009303F8">
      <w:pPr>
        <w:pStyle w:val="ad"/>
        <w:numPr>
          <w:ilvl w:val="0"/>
          <w:numId w:val="1"/>
        </w:numPr>
        <w:spacing w:line="360" w:lineRule="auto"/>
        <w:jc w:val="both"/>
        <w:rPr>
          <w:rFonts w:ascii="David" w:hAnsi="David" w:cs="David"/>
          <w:sz w:val="24"/>
          <w:szCs w:val="24"/>
          <w:rtl/>
        </w:rPr>
      </w:pPr>
      <w:r>
        <w:rPr>
          <w:rFonts w:ascii="David" w:hAnsi="David" w:cs="David"/>
          <w:sz w:val="24"/>
          <w:szCs w:val="24"/>
          <w:rtl/>
        </w:rPr>
        <w:t>ב</w:t>
      </w:r>
      <w:r w:rsidR="008E6E48">
        <w:rPr>
          <w:rFonts w:ascii="David" w:hAnsi="David" w:cs="David" w:hint="cs"/>
          <w:sz w:val="24"/>
          <w:szCs w:val="24"/>
          <w:rtl/>
        </w:rPr>
        <w:t>חקירתה</w:t>
      </w:r>
      <w:r>
        <w:rPr>
          <w:rFonts w:ascii="David" w:hAnsi="David" w:cs="David"/>
          <w:sz w:val="24"/>
          <w:szCs w:val="24"/>
          <w:rtl/>
        </w:rPr>
        <w:t xml:space="preserve"> התובעת</w:t>
      </w:r>
      <w:r w:rsidR="008E6E48">
        <w:rPr>
          <w:rFonts w:ascii="David" w:hAnsi="David" w:cs="David" w:hint="cs"/>
          <w:sz w:val="24"/>
          <w:szCs w:val="24"/>
          <w:rtl/>
        </w:rPr>
        <w:t xml:space="preserve"> עומתה</w:t>
      </w:r>
      <w:r>
        <w:rPr>
          <w:rFonts w:ascii="David" w:hAnsi="David" w:cs="David"/>
          <w:sz w:val="24"/>
          <w:szCs w:val="24"/>
          <w:rtl/>
        </w:rPr>
        <w:t xml:space="preserve"> עם דברים שמסרה בתצהיר מטעמה </w:t>
      </w:r>
      <w:r w:rsidR="008E6E48">
        <w:rPr>
          <w:rFonts w:ascii="David" w:hAnsi="David" w:cs="David" w:hint="cs"/>
          <w:sz w:val="24"/>
          <w:szCs w:val="24"/>
          <w:rtl/>
        </w:rPr>
        <w:t xml:space="preserve">בהליך י"ס </w:t>
      </w:r>
      <w:r>
        <w:rPr>
          <w:rFonts w:ascii="David" w:hAnsi="David" w:cs="David"/>
          <w:sz w:val="24"/>
          <w:szCs w:val="24"/>
          <w:rtl/>
        </w:rPr>
        <w:t>מיום 11.11.2020 שם טענה כי ערב עזיבתה כתבה לנתבע מכתב</w:t>
      </w:r>
      <w:r w:rsidR="000F386A">
        <w:rPr>
          <w:rFonts w:ascii="David" w:hAnsi="David" w:cs="David" w:hint="cs"/>
          <w:sz w:val="24"/>
          <w:szCs w:val="24"/>
          <w:rtl/>
        </w:rPr>
        <w:t xml:space="preserve"> </w:t>
      </w:r>
      <w:r>
        <w:rPr>
          <w:rFonts w:ascii="David" w:hAnsi="David" w:cs="David"/>
          <w:sz w:val="24"/>
          <w:szCs w:val="24"/>
          <w:rtl/>
        </w:rPr>
        <w:t>שלא צורף בהליך זה (ר' י"ס 48297-10-20). התובעת הכחישה קיומו של מכתב כזה</w:t>
      </w:r>
      <w:r w:rsidR="000F386A">
        <w:rPr>
          <w:rFonts w:ascii="David" w:hAnsi="David" w:cs="David" w:hint="cs"/>
          <w:sz w:val="24"/>
          <w:szCs w:val="24"/>
          <w:rtl/>
        </w:rPr>
        <w:t>,</w:t>
      </w:r>
      <w:r>
        <w:rPr>
          <w:rFonts w:ascii="David" w:hAnsi="David" w:cs="David"/>
          <w:sz w:val="24"/>
          <w:szCs w:val="24"/>
          <w:rtl/>
        </w:rPr>
        <w:t xml:space="preserve"> טענה כי יש ומדובר בטעות וכי בפועל הנתבע הוא שהותיר מכתב בידיה. אלא שגם מכתב זה, באופן תמוה, לא צורף אף שיכול היה לשפוך אור על התרחשות האירועים ערב עזיבתה</w:t>
      </w:r>
      <w:r w:rsidR="009303F8">
        <w:rPr>
          <w:rFonts w:ascii="David" w:hAnsi="David" w:cs="David" w:hint="cs"/>
          <w:sz w:val="24"/>
          <w:szCs w:val="24"/>
          <w:rtl/>
        </w:rPr>
        <w:t xml:space="preserve"> </w:t>
      </w:r>
      <w:r>
        <w:rPr>
          <w:rFonts w:ascii="David" w:hAnsi="David" w:cs="David"/>
          <w:sz w:val="24"/>
          <w:szCs w:val="24"/>
          <w:rtl/>
        </w:rPr>
        <w:t xml:space="preserve">(ר' ע' 17 ש' 8-18). עיון בתצהיר האמור אף מעלה כי אין בו כל אזכור לאירועי אלימות אשר בעטיים עזבה את הבית. </w:t>
      </w:r>
    </w:p>
    <w:p w:rsidR="004127E0" w:rsidRDefault="004127E0" w:rsidP="004127E0">
      <w:pPr>
        <w:pStyle w:val="ad"/>
        <w:rPr>
          <w:rFonts w:ascii="David" w:hAnsi="David" w:cs="David"/>
          <w:sz w:val="24"/>
          <w:szCs w:val="24"/>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לא זו אף זו, אין להלום צירוף המסמך מטעם המטפלת כמה שנחזה להיות חוות דעת, זאת ללא מתן אישור מבית המשפט ומבלי שהובהר טיב ההכשרה של אותה מטפלת מהותו של הטיפול שעברה , משכו , מועדו . התובעת אף לא מצאה לזמן את המטפלת לעדות. לא ניתן להסיק מאותו מכתב כל ממצא עובדתי בקשר עם מצבה של התובעת או חלקו של הנתבע במצב זה.</w:t>
      </w:r>
    </w:p>
    <w:p w:rsidR="004127E0" w:rsidRDefault="004127E0" w:rsidP="004127E0">
      <w:pPr>
        <w:pStyle w:val="ad"/>
        <w:rPr>
          <w:rFonts w:ascii="David" w:hAnsi="David" w:cs="David"/>
          <w:sz w:val="24"/>
          <w:szCs w:val="24"/>
        </w:rPr>
      </w:pPr>
    </w:p>
    <w:p w:rsidR="004127E0" w:rsidRDefault="004127E0" w:rsidP="004127E0">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עוד יוער כי לא הוכח שהנתבע פעל לעכב את מכר הדירה ולא בכדי התובעת זנחה טענה זו בסיכומיה. כאמור היה זה הנתבע אשר נקט בהליך לפירוק השיתוף בסוף בשנת 2018 , כאשר צו ניתן בהסכמה כבר בחודש פברואר 2019  תוך שנקבעה תקופת מכר עצמי של 3 חודשים בלבד טרם הליכי</w:t>
      </w:r>
      <w:r w:rsidR="000F386A">
        <w:rPr>
          <w:rFonts w:ascii="David" w:hAnsi="David" w:cs="David"/>
          <w:sz w:val="24"/>
          <w:szCs w:val="24"/>
          <w:rtl/>
        </w:rPr>
        <w:t xml:space="preserve"> כינוס</w:t>
      </w:r>
      <w:r w:rsidR="000F386A">
        <w:rPr>
          <w:rFonts w:ascii="David" w:hAnsi="David" w:cs="David" w:hint="cs"/>
          <w:sz w:val="24"/>
          <w:szCs w:val="24"/>
          <w:rtl/>
        </w:rPr>
        <w:t>.</w:t>
      </w:r>
      <w:r>
        <w:rPr>
          <w:rFonts w:ascii="David" w:hAnsi="David" w:cs="David"/>
          <w:sz w:val="24"/>
          <w:szCs w:val="24"/>
          <w:rtl/>
        </w:rPr>
        <w:t xml:space="preserve"> אלא שהתובעת שבה והגישה בקשות להארכת תקופת המכר העצמי באופן הסותר במידה רבה טענתה לחיים בצל אלימות קשה מצד הנתבע שאז הייתה מתעוררת דחיפות בפירוק מהיר באמצעות כינוס.</w:t>
      </w:r>
    </w:p>
    <w:p w:rsidR="004127E0" w:rsidRDefault="004127E0" w:rsidP="004127E0">
      <w:pPr>
        <w:pStyle w:val="ad"/>
        <w:spacing w:after="0" w:line="360" w:lineRule="auto"/>
        <w:ind w:left="360"/>
        <w:jc w:val="both"/>
        <w:rPr>
          <w:rFonts w:ascii="David" w:hAnsi="David" w:cs="David"/>
          <w:sz w:val="24"/>
          <w:szCs w:val="24"/>
        </w:rPr>
      </w:pPr>
      <w:r>
        <w:rPr>
          <w:rFonts w:ascii="David" w:hAnsi="David" w:cs="David"/>
          <w:sz w:val="24"/>
          <w:szCs w:val="24"/>
          <w:rtl/>
        </w:rPr>
        <w:t xml:space="preserve"> </w:t>
      </w:r>
    </w:p>
    <w:p w:rsidR="004127E0" w:rsidRDefault="004127E0" w:rsidP="000F386A">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לא הוכח אפוא כי התובעת נסה על נפשה מבית הצדדים בצל אלימות הנתבע. ניתן להניח כי המתיחות ששררה בין הצדדים העיבה על</w:t>
      </w:r>
      <w:r w:rsidR="000F386A">
        <w:rPr>
          <w:rFonts w:ascii="David" w:hAnsi="David" w:cs="David"/>
          <w:sz w:val="24"/>
          <w:szCs w:val="24"/>
          <w:rtl/>
        </w:rPr>
        <w:t xml:space="preserve"> שגרת היום בתוך הבית פנימה</w:t>
      </w:r>
      <w:r w:rsidR="000F386A">
        <w:rPr>
          <w:rFonts w:ascii="David" w:hAnsi="David" w:cs="David" w:hint="cs"/>
          <w:sz w:val="24"/>
          <w:szCs w:val="24"/>
          <w:rtl/>
        </w:rPr>
        <w:t xml:space="preserve">, אך </w:t>
      </w:r>
      <w:r>
        <w:rPr>
          <w:rFonts w:ascii="David" w:hAnsi="David" w:cs="David"/>
          <w:sz w:val="24"/>
          <w:szCs w:val="24"/>
          <w:rtl/>
        </w:rPr>
        <w:t xml:space="preserve">אין במסכת העובדתית כדי ללמד כי עזיבת התובעת את הבית הייתה בבחינת כורח המציאות ובאופן  המזכה אותה בתשלום דמי שימוש ראויים. </w:t>
      </w:r>
    </w:p>
    <w:p w:rsidR="004127E0" w:rsidRDefault="004127E0" w:rsidP="004127E0">
      <w:pPr>
        <w:pStyle w:val="ad"/>
        <w:rPr>
          <w:rFonts w:ascii="David" w:hAnsi="David" w:cs="David"/>
          <w:sz w:val="24"/>
          <w:szCs w:val="24"/>
        </w:rPr>
      </w:pPr>
    </w:p>
    <w:p w:rsidR="004127E0" w:rsidRDefault="004127E0" w:rsidP="000F386A">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נותר אפוא לבחון האם נמנע מהתובעת לחזור ולהתגורר בבית לאחר שעזבה. הנתבע אינו מכחיש כי החליף את צילינדר הבית לאחר עזיבתה. </w:t>
      </w:r>
      <w:r>
        <w:rPr>
          <w:rFonts w:ascii="David" w:hAnsi="David" w:cs="David"/>
          <w:color w:val="000000"/>
          <w:sz w:val="24"/>
          <w:szCs w:val="24"/>
          <w:shd w:val="clear" w:color="auto" w:fill="FFFFFF"/>
          <w:rtl/>
        </w:rPr>
        <w:t xml:space="preserve">ברם, לא הוכח כי התובעת חפצה בשום שלב לשוב ולהתגורר בבית הצדדים, או כי נמנע ממנה הלכה ולמעשה לעשות כן. לא נטען וממילא לא הוכח כי התובעת פנתה אל הנתבע בעניין זה. גם לא התעוררה מניעה הלכתית להוסיף ולהתגורר יחד שכן על פי כתבי הסיכומים, ומבלי שיהא בידי לקבוע מסמרות בקשר עם התנהלות מי מהצדדים בבית הדין הרבני, עולה כי הצדדים עודם נשואים.  כפי שנפסק בהלכת זרקא, ככל ואחד מבני הזוג עוזב את בית המגורים המשותף מרצונו ועל דעתו, הוא לא יוכל לתבוע מבן הזוג אשר נותר להתגורר בבית המגורים, תשלום דמי שימוש ראויים. </w:t>
      </w:r>
    </w:p>
    <w:p w:rsidR="004127E0" w:rsidRDefault="004127E0" w:rsidP="004127E0">
      <w:pPr>
        <w:pStyle w:val="ad"/>
        <w:spacing w:line="360" w:lineRule="auto"/>
        <w:ind w:left="360"/>
        <w:jc w:val="both"/>
        <w:rPr>
          <w:rFonts w:ascii="David" w:hAnsi="David" w:cs="David"/>
          <w:sz w:val="24"/>
          <w:szCs w:val="24"/>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לבסוף אעיר כי יש ממש בטענת הנתבע כפי שהועלתה עוד בכתב ההגנה, לפיה אין מקום לאמוד שווי דמי השימוש על יסוד חוות דעת שהוגשה מטעם התובעת בניגוד להוראות הדין. אין בטענת התובעת הכרוכה אחר זהות השמאי כמי שערך שמאות לדירת הצדדים בעבר, כדי להכשיר מצב דברים זה תוך פגיעה בזכויות דיוניות של הנתבע.</w:t>
      </w:r>
    </w:p>
    <w:p w:rsidR="004127E0" w:rsidRDefault="004127E0" w:rsidP="004127E0">
      <w:pPr>
        <w:pStyle w:val="ad"/>
        <w:spacing w:line="360" w:lineRule="auto"/>
        <w:ind w:left="360"/>
        <w:jc w:val="both"/>
        <w:rPr>
          <w:rFonts w:ascii="David" w:hAnsi="David" w:cs="David"/>
          <w:sz w:val="24"/>
          <w:szCs w:val="24"/>
        </w:rPr>
      </w:pPr>
      <w:r>
        <w:rPr>
          <w:rFonts w:ascii="David" w:hAnsi="David" w:cs="David"/>
          <w:sz w:val="24"/>
          <w:szCs w:val="24"/>
          <w:rtl/>
        </w:rPr>
        <w:t xml:space="preserve"> </w:t>
      </w:r>
    </w:p>
    <w:p w:rsidR="004127E0" w:rsidRDefault="004127E0" w:rsidP="004127E0">
      <w:pPr>
        <w:pStyle w:val="ad"/>
        <w:numPr>
          <w:ilvl w:val="0"/>
          <w:numId w:val="1"/>
        </w:numPr>
        <w:spacing w:line="360" w:lineRule="auto"/>
        <w:jc w:val="both"/>
        <w:rPr>
          <w:rFonts w:ascii="David" w:hAnsi="David" w:cs="David"/>
          <w:sz w:val="24"/>
          <w:szCs w:val="24"/>
        </w:rPr>
      </w:pPr>
      <w:r>
        <w:rPr>
          <w:rFonts w:ascii="David" w:hAnsi="David" w:cs="David"/>
          <w:sz w:val="24"/>
          <w:szCs w:val="24"/>
          <w:rtl/>
        </w:rPr>
        <w:t>מן המקובץ דין טענת התובעת לפסיקת דמי שימוש להידחות וכך אני מורה.</w:t>
      </w:r>
    </w:p>
    <w:p w:rsidR="004127E0" w:rsidRDefault="004127E0" w:rsidP="004127E0">
      <w:pPr>
        <w:pStyle w:val="ad"/>
        <w:spacing w:line="360" w:lineRule="auto"/>
        <w:ind w:left="425"/>
        <w:jc w:val="both"/>
        <w:rPr>
          <w:rFonts w:ascii="David" w:hAnsi="David" w:cs="David"/>
          <w:b/>
          <w:bCs/>
          <w:sz w:val="24"/>
          <w:szCs w:val="24"/>
          <w:u w:val="single"/>
        </w:rPr>
      </w:pPr>
    </w:p>
    <w:p w:rsidR="004127E0" w:rsidRDefault="004127E0" w:rsidP="004127E0">
      <w:pPr>
        <w:pStyle w:val="ad"/>
        <w:spacing w:line="360" w:lineRule="auto"/>
        <w:ind w:left="425" w:hanging="425"/>
        <w:jc w:val="both"/>
        <w:rPr>
          <w:rFonts w:ascii="David" w:hAnsi="David" w:cs="David"/>
          <w:b/>
          <w:bCs/>
          <w:sz w:val="24"/>
          <w:szCs w:val="24"/>
          <w:u w:val="single"/>
          <w:rtl/>
        </w:rPr>
      </w:pPr>
      <w:r>
        <w:rPr>
          <w:rFonts w:ascii="David" w:hAnsi="David" w:cs="David"/>
          <w:b/>
          <w:bCs/>
          <w:sz w:val="24"/>
          <w:szCs w:val="24"/>
          <w:u w:val="single"/>
          <w:rtl/>
        </w:rPr>
        <w:t>חוות דעת אקטואר</w:t>
      </w:r>
    </w:p>
    <w:p w:rsidR="004127E0" w:rsidRDefault="004127E0" w:rsidP="004127E0">
      <w:pPr>
        <w:pStyle w:val="ad"/>
        <w:spacing w:line="360" w:lineRule="auto"/>
        <w:ind w:left="425" w:hanging="425"/>
        <w:jc w:val="both"/>
        <w:rPr>
          <w:rFonts w:ascii="David" w:hAnsi="David" w:cs="David"/>
          <w:b/>
          <w:bCs/>
          <w:sz w:val="24"/>
          <w:szCs w:val="24"/>
          <w:u w:val="single"/>
          <w:rtl/>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השגותיה של התובעת בקשר עם חוות דעת המומחה אינן נהירות.</w:t>
      </w:r>
    </w:p>
    <w:p w:rsidR="004127E0" w:rsidRDefault="004127E0" w:rsidP="004127E0">
      <w:pPr>
        <w:pStyle w:val="ad"/>
        <w:spacing w:line="360" w:lineRule="auto"/>
        <w:ind w:left="360"/>
        <w:jc w:val="both"/>
        <w:rPr>
          <w:rFonts w:ascii="David" w:hAnsi="David" w:cs="David"/>
          <w:sz w:val="24"/>
          <w:szCs w:val="24"/>
        </w:rPr>
      </w:pPr>
      <w:r>
        <w:rPr>
          <w:rFonts w:ascii="David" w:hAnsi="David" w:cs="David"/>
          <w:sz w:val="24"/>
          <w:szCs w:val="24"/>
          <w:rtl/>
        </w:rPr>
        <w:t xml:space="preserve"> </w:t>
      </w:r>
    </w:p>
    <w:p w:rsidR="004127E0" w:rsidRDefault="004127E0" w:rsidP="004127E0">
      <w:pPr>
        <w:pStyle w:val="ad"/>
        <w:numPr>
          <w:ilvl w:val="0"/>
          <w:numId w:val="1"/>
        </w:numPr>
        <w:spacing w:line="360" w:lineRule="auto"/>
        <w:jc w:val="both"/>
        <w:rPr>
          <w:rFonts w:ascii="David" w:hAnsi="David" w:cs="David"/>
          <w:sz w:val="24"/>
          <w:szCs w:val="24"/>
        </w:rPr>
      </w:pPr>
      <w:r>
        <w:rPr>
          <w:rFonts w:ascii="David" w:hAnsi="David" w:cs="David"/>
          <w:sz w:val="24"/>
          <w:szCs w:val="24"/>
          <w:rtl/>
        </w:rPr>
        <w:t>התובעת לא מצאה לזמן את המומחה להיחקר. ממצאי חוות דעתו לא נסתרו.</w:t>
      </w:r>
    </w:p>
    <w:p w:rsidR="004127E0" w:rsidRDefault="004127E0" w:rsidP="004127E0">
      <w:pPr>
        <w:pStyle w:val="ad"/>
        <w:rPr>
          <w:rFonts w:ascii="David" w:hAnsi="David" w:cs="David"/>
          <w:sz w:val="24"/>
          <w:szCs w:val="24"/>
        </w:rPr>
      </w:pPr>
    </w:p>
    <w:p w:rsidR="004127E0" w:rsidRDefault="004127E0" w:rsidP="004127E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ככל שהתובעת כטענתה, לא קיבלה תשובות לשאלות ההבהרה ששלחה למומחה, היה עליה לפעול  בזמן אמת ולעורר סוגיה זו במועד ולא במסגרת כתב הסיכומים. </w:t>
      </w:r>
    </w:p>
    <w:p w:rsidR="004127E0" w:rsidRDefault="004127E0" w:rsidP="004127E0">
      <w:pPr>
        <w:pStyle w:val="ad"/>
        <w:rPr>
          <w:rFonts w:ascii="David" w:hAnsi="David" w:cs="David"/>
          <w:sz w:val="24"/>
          <w:szCs w:val="24"/>
        </w:rPr>
      </w:pPr>
    </w:p>
    <w:p w:rsidR="004127E0" w:rsidRDefault="004127E0" w:rsidP="000F386A">
      <w:pPr>
        <w:pStyle w:val="ad"/>
        <w:numPr>
          <w:ilvl w:val="0"/>
          <w:numId w:val="1"/>
        </w:numPr>
        <w:spacing w:line="360" w:lineRule="auto"/>
        <w:jc w:val="both"/>
        <w:rPr>
          <w:rFonts w:ascii="David" w:hAnsi="David" w:cs="David"/>
          <w:sz w:val="24"/>
          <w:szCs w:val="24"/>
          <w:rtl/>
        </w:rPr>
      </w:pPr>
      <w:r>
        <w:rPr>
          <w:rFonts w:ascii="David" w:hAnsi="David" w:cs="David"/>
          <w:sz w:val="24"/>
          <w:szCs w:val="24"/>
          <w:rtl/>
        </w:rPr>
        <w:t>יתרה מכך, בדיון מיום 30.1.2023 הצהירו הצדדים כי חוות הדעת מ</w:t>
      </w:r>
      <w:r w:rsidR="000F386A">
        <w:rPr>
          <w:rFonts w:ascii="David" w:hAnsi="David" w:cs="David"/>
          <w:sz w:val="24"/>
          <w:szCs w:val="24"/>
          <w:rtl/>
        </w:rPr>
        <w:t>קובלת עליהם (להוציא עניין הרכב</w:t>
      </w:r>
      <w:r w:rsidR="000F386A">
        <w:rPr>
          <w:rFonts w:ascii="David" w:hAnsi="David" w:cs="David" w:hint="cs"/>
          <w:sz w:val="24"/>
          <w:szCs w:val="24"/>
          <w:rtl/>
        </w:rPr>
        <w:t>-</w:t>
      </w:r>
      <w:r w:rsidR="000F386A">
        <w:rPr>
          <w:rFonts w:ascii="David" w:hAnsi="David" w:cs="David"/>
          <w:sz w:val="24"/>
          <w:szCs w:val="24"/>
          <w:rtl/>
        </w:rPr>
        <w:t xml:space="preserve"> ר' ע' 16 ש' 5</w:t>
      </w:r>
      <w:r>
        <w:rPr>
          <w:rFonts w:ascii="David" w:hAnsi="David" w:cs="David"/>
          <w:sz w:val="24"/>
          <w:szCs w:val="24"/>
          <w:rtl/>
        </w:rPr>
        <w:t>).</w:t>
      </w:r>
    </w:p>
    <w:p w:rsidR="004127E0" w:rsidRDefault="004127E0" w:rsidP="004127E0">
      <w:pPr>
        <w:pStyle w:val="ad"/>
        <w:rPr>
          <w:rFonts w:ascii="David" w:hAnsi="David" w:cs="David"/>
          <w:sz w:val="24"/>
          <w:szCs w:val="24"/>
        </w:rPr>
      </w:pPr>
    </w:p>
    <w:p w:rsidR="004127E0" w:rsidRDefault="004127E0" w:rsidP="004127E0">
      <w:pPr>
        <w:pStyle w:val="ad"/>
        <w:numPr>
          <w:ilvl w:val="0"/>
          <w:numId w:val="1"/>
        </w:numPr>
        <w:spacing w:line="360" w:lineRule="auto"/>
        <w:ind w:left="425" w:hanging="425"/>
        <w:jc w:val="both"/>
        <w:rPr>
          <w:rFonts w:ascii="David" w:hAnsi="David" w:cs="David"/>
          <w:b/>
          <w:bCs/>
          <w:sz w:val="24"/>
          <w:szCs w:val="24"/>
          <w:u w:val="single"/>
          <w:rtl/>
        </w:rPr>
      </w:pPr>
      <w:r>
        <w:rPr>
          <w:rFonts w:ascii="David" w:hAnsi="David" w:cs="David"/>
          <w:sz w:val="24"/>
          <w:szCs w:val="24"/>
          <w:rtl/>
        </w:rPr>
        <w:t>נוכח האמור, דין טענה זו להידחות.</w:t>
      </w:r>
    </w:p>
    <w:p w:rsidR="004127E0" w:rsidRDefault="004127E0" w:rsidP="004127E0">
      <w:pPr>
        <w:pStyle w:val="ad"/>
        <w:rPr>
          <w:rFonts w:ascii="David" w:hAnsi="David" w:cs="David"/>
          <w:b/>
          <w:bCs/>
          <w:sz w:val="24"/>
          <w:szCs w:val="24"/>
          <w:u w:val="single"/>
        </w:rPr>
      </w:pPr>
    </w:p>
    <w:p w:rsidR="004127E0" w:rsidRDefault="004127E0" w:rsidP="004127E0">
      <w:pPr>
        <w:pStyle w:val="ad"/>
        <w:spacing w:line="360" w:lineRule="auto"/>
        <w:ind w:left="708" w:hanging="708"/>
        <w:jc w:val="both"/>
        <w:rPr>
          <w:rFonts w:ascii="David" w:hAnsi="David" w:cs="David"/>
          <w:b/>
          <w:bCs/>
          <w:sz w:val="24"/>
          <w:szCs w:val="24"/>
          <w:u w:val="single"/>
          <w:rtl/>
        </w:rPr>
      </w:pPr>
      <w:r>
        <w:rPr>
          <w:rFonts w:ascii="David" w:hAnsi="David" w:cs="David"/>
          <w:b/>
          <w:bCs/>
          <w:sz w:val="24"/>
          <w:szCs w:val="24"/>
          <w:u w:val="single"/>
          <w:rtl/>
        </w:rPr>
        <w:t>סיכום</w:t>
      </w:r>
    </w:p>
    <w:p w:rsidR="004127E0" w:rsidRDefault="004127E0" w:rsidP="004127E0">
      <w:pPr>
        <w:pStyle w:val="ad"/>
        <w:spacing w:line="360" w:lineRule="auto"/>
        <w:ind w:left="708" w:hanging="708"/>
        <w:jc w:val="both"/>
        <w:rPr>
          <w:rFonts w:ascii="David" w:hAnsi="David" w:cs="David"/>
          <w:b/>
          <w:bCs/>
          <w:sz w:val="24"/>
          <w:szCs w:val="24"/>
          <w:u w:val="single"/>
          <w:rtl/>
        </w:rPr>
      </w:pPr>
    </w:p>
    <w:p w:rsidR="004127E0" w:rsidRDefault="004127E0" w:rsidP="004127E0">
      <w:pPr>
        <w:pStyle w:val="ad"/>
        <w:numPr>
          <w:ilvl w:val="0"/>
          <w:numId w:val="1"/>
        </w:numPr>
        <w:spacing w:line="360" w:lineRule="auto"/>
        <w:jc w:val="both"/>
        <w:rPr>
          <w:rFonts w:ascii="David" w:hAnsi="David" w:cs="David"/>
          <w:noProof/>
          <w:sz w:val="24"/>
          <w:szCs w:val="24"/>
          <w:rtl/>
        </w:rPr>
      </w:pPr>
      <w:r>
        <w:rPr>
          <w:rFonts w:ascii="David" w:hAnsi="David" w:cs="David"/>
          <w:sz w:val="24"/>
          <w:szCs w:val="24"/>
          <w:rtl/>
        </w:rPr>
        <w:t>עתירת התובעת למתן זכויות קנייניות בדירה מכוח כוונת שיתוף ספציפי</w:t>
      </w:r>
      <w:r>
        <w:rPr>
          <w:rFonts w:ascii="David" w:hAnsi="David" w:cs="David" w:hint="cs"/>
          <w:sz w:val="24"/>
          <w:szCs w:val="24"/>
          <w:rtl/>
        </w:rPr>
        <w:t xml:space="preserve"> ופירוק השיתוף בדירה</w:t>
      </w:r>
      <w:r>
        <w:rPr>
          <w:rFonts w:ascii="David" w:hAnsi="David" w:cs="David"/>
          <w:sz w:val="24"/>
          <w:szCs w:val="24"/>
          <w:rtl/>
        </w:rPr>
        <w:t xml:space="preserve"> - נדחית.</w:t>
      </w:r>
    </w:p>
    <w:p w:rsidR="004127E0" w:rsidRDefault="004127E0" w:rsidP="004127E0">
      <w:pPr>
        <w:pStyle w:val="ad"/>
        <w:spacing w:line="360" w:lineRule="auto"/>
        <w:ind w:left="360"/>
        <w:jc w:val="both"/>
        <w:rPr>
          <w:rFonts w:ascii="David" w:hAnsi="David" w:cs="David"/>
          <w:noProof/>
          <w:sz w:val="24"/>
          <w:szCs w:val="24"/>
        </w:rPr>
      </w:pPr>
      <w:r>
        <w:rPr>
          <w:rFonts w:ascii="David" w:hAnsi="David" w:cs="David"/>
          <w:sz w:val="24"/>
          <w:szCs w:val="24"/>
          <w:rtl/>
        </w:rPr>
        <w:t xml:space="preserve"> </w:t>
      </w:r>
    </w:p>
    <w:p w:rsidR="004127E0" w:rsidRDefault="004127E0" w:rsidP="001E65F2">
      <w:pPr>
        <w:pStyle w:val="ad"/>
        <w:numPr>
          <w:ilvl w:val="0"/>
          <w:numId w:val="1"/>
        </w:numPr>
        <w:spacing w:line="360" w:lineRule="auto"/>
        <w:ind w:left="425" w:hanging="425"/>
        <w:jc w:val="both"/>
        <w:rPr>
          <w:rFonts w:ascii="David" w:hAnsi="David" w:cs="David"/>
          <w:noProof/>
          <w:sz w:val="24"/>
          <w:szCs w:val="24"/>
        </w:rPr>
      </w:pPr>
      <w:r>
        <w:rPr>
          <w:rFonts w:ascii="David" w:hAnsi="David" w:cs="David"/>
          <w:sz w:val="24"/>
          <w:szCs w:val="24"/>
          <w:rtl/>
        </w:rPr>
        <w:t xml:space="preserve">עתירת התובעת לפסיקת דמי שימוש ראויים- נדחית. </w:t>
      </w:r>
    </w:p>
    <w:p w:rsidR="004127E0" w:rsidRDefault="004127E0" w:rsidP="004127E0">
      <w:pPr>
        <w:pStyle w:val="ad"/>
        <w:spacing w:line="360" w:lineRule="auto"/>
        <w:ind w:left="850"/>
        <w:jc w:val="both"/>
        <w:rPr>
          <w:rFonts w:ascii="David" w:hAnsi="David" w:cs="David"/>
          <w:sz w:val="24"/>
          <w:szCs w:val="24"/>
        </w:rPr>
      </w:pPr>
    </w:p>
    <w:p w:rsidR="004127E0" w:rsidRDefault="004127E0" w:rsidP="00DE4A79">
      <w:pPr>
        <w:pStyle w:val="ad"/>
        <w:numPr>
          <w:ilvl w:val="0"/>
          <w:numId w:val="1"/>
        </w:numPr>
        <w:spacing w:after="0" w:line="360" w:lineRule="auto"/>
        <w:ind w:left="357" w:hanging="357"/>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איזון המשאבים בין הצדדים יתבצע בהתאם לחוות דעת האקטואר מיום 13.7.2022.בהעדר הסכמה אחרת בכתב </w:t>
      </w:r>
      <w:r w:rsidR="001E65F2">
        <w:rPr>
          <w:rFonts w:ascii="David" w:hAnsi="David" w:cs="David" w:hint="cs"/>
          <w:sz w:val="24"/>
          <w:szCs w:val="24"/>
          <w:rtl/>
        </w:rPr>
        <w:t xml:space="preserve">בתוך 7 ימים </w:t>
      </w:r>
      <w:r>
        <w:rPr>
          <w:rFonts w:ascii="David" w:hAnsi="David" w:cs="David" w:hint="cs"/>
          <w:sz w:val="24"/>
          <w:szCs w:val="24"/>
          <w:rtl/>
        </w:rPr>
        <w:t>יתבצע האיזון על פי חלופה ב' לחוות הדעת קרי-  איזון המשאבים ייעשה במועד גמילת הזכויות. פסיקתאות תחתמנה בנפרד.</w:t>
      </w:r>
    </w:p>
    <w:p w:rsidR="004127E0" w:rsidRDefault="004127E0" w:rsidP="00DE4A79">
      <w:pPr>
        <w:pStyle w:val="ad"/>
        <w:jc w:val="both"/>
        <w:rPr>
          <w:rFonts w:ascii="David" w:hAnsi="David" w:cs="David"/>
          <w:sz w:val="24"/>
          <w:szCs w:val="24"/>
        </w:rPr>
      </w:pPr>
    </w:p>
    <w:p w:rsidR="004127E0" w:rsidRDefault="004127E0" w:rsidP="00DE4A79">
      <w:pPr>
        <w:pStyle w:val="ad"/>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תשלום של כספים נזילים בין הצדדים ייעשה תוך 30 יום ממתן פסק הדין.</w:t>
      </w:r>
    </w:p>
    <w:p w:rsidR="004127E0" w:rsidRDefault="004127E0" w:rsidP="00DE4A79">
      <w:pPr>
        <w:pStyle w:val="ad"/>
        <w:jc w:val="both"/>
        <w:rPr>
          <w:rFonts w:ascii="David" w:hAnsi="David" w:cs="David"/>
          <w:sz w:val="24"/>
          <w:szCs w:val="24"/>
        </w:rPr>
      </w:pPr>
    </w:p>
    <w:p w:rsidR="004127E0" w:rsidRPr="00DE4A79" w:rsidRDefault="000F386A" w:rsidP="00DE4A79">
      <w:pPr>
        <w:pStyle w:val="ad"/>
        <w:numPr>
          <w:ilvl w:val="0"/>
          <w:numId w:val="1"/>
        </w:numPr>
        <w:spacing w:after="0" w:line="360" w:lineRule="auto"/>
        <w:ind w:left="357" w:hanging="357"/>
        <w:jc w:val="both"/>
        <w:rPr>
          <w:rFonts w:ascii="David" w:hAnsi="David" w:cs="David"/>
          <w:sz w:val="24"/>
          <w:szCs w:val="24"/>
        </w:rPr>
      </w:pPr>
      <w:r w:rsidRPr="00DE4A79">
        <w:rPr>
          <w:rFonts w:ascii="David" w:hAnsi="David" w:cs="David"/>
          <w:sz w:val="24"/>
          <w:szCs w:val="24"/>
          <w:rtl/>
        </w:rPr>
        <w:t>הנתבע ישלם לתובעת</w:t>
      </w:r>
      <w:r w:rsidR="00DE4A79" w:rsidRPr="00DE4A79">
        <w:rPr>
          <w:rFonts w:ascii="David" w:hAnsi="David" w:cs="David" w:hint="cs"/>
          <w:sz w:val="24"/>
          <w:szCs w:val="24"/>
          <w:rtl/>
        </w:rPr>
        <w:t xml:space="preserve"> בתוך 30 ימים</w:t>
      </w:r>
      <w:r w:rsidRPr="00DE4A79">
        <w:rPr>
          <w:rFonts w:ascii="David" w:hAnsi="David" w:cs="David"/>
          <w:sz w:val="24"/>
          <w:szCs w:val="24"/>
          <w:rtl/>
        </w:rPr>
        <w:t xml:space="preserve"> מחצית מכלל החזרי המשכנתא ששולמו מהחשבון המשותף </w:t>
      </w:r>
      <w:r w:rsidR="00DE4A79" w:rsidRPr="00DE4A79">
        <w:rPr>
          <w:rFonts w:ascii="David" w:hAnsi="David" w:cs="David" w:hint="cs"/>
          <w:sz w:val="24"/>
          <w:szCs w:val="24"/>
          <w:rtl/>
        </w:rPr>
        <w:t xml:space="preserve">החל מחודש 1/2005 ועד סילוקה הסופי </w:t>
      </w:r>
      <w:r w:rsidR="00DE4A79">
        <w:rPr>
          <w:rFonts w:ascii="David" w:hAnsi="David" w:cs="David" w:hint="cs"/>
          <w:sz w:val="24"/>
          <w:szCs w:val="24"/>
          <w:rtl/>
        </w:rPr>
        <w:t>ב</w:t>
      </w:r>
      <w:r w:rsidRPr="00DE4A79">
        <w:rPr>
          <w:rFonts w:ascii="David" w:hAnsi="David" w:cs="David"/>
          <w:sz w:val="24"/>
          <w:szCs w:val="24"/>
          <w:rtl/>
        </w:rPr>
        <w:t xml:space="preserve">תוספת הפרשי הצמדה כדין ממועד כל תשלום ועד ביצוע השבה בפועל. </w:t>
      </w:r>
      <w:r w:rsidR="00DE4A79" w:rsidRPr="00DE4A79">
        <w:rPr>
          <w:rFonts w:ascii="David" w:hAnsi="David" w:cs="David" w:hint="cs"/>
          <w:sz w:val="24"/>
          <w:szCs w:val="24"/>
          <w:rtl/>
        </w:rPr>
        <w:t xml:space="preserve">במידת הצורך ובהעדר הסכמה ביחס לגובה התשלום </w:t>
      </w:r>
      <w:r w:rsidR="004127E0" w:rsidRPr="00DE4A79">
        <w:rPr>
          <w:rFonts w:ascii="David" w:hAnsi="David" w:cs="David"/>
          <w:sz w:val="24"/>
          <w:szCs w:val="24"/>
          <w:rtl/>
        </w:rPr>
        <w:t xml:space="preserve">הצדדים יפנו למומחה בית המשפט מר אבי יחזקאל אשר יערוך  תחשיב </w:t>
      </w:r>
      <w:r w:rsidR="00DE4A79" w:rsidRPr="00DE4A79">
        <w:rPr>
          <w:rFonts w:ascii="David" w:hAnsi="David" w:cs="David" w:hint="cs"/>
          <w:sz w:val="24"/>
          <w:szCs w:val="24"/>
          <w:rtl/>
        </w:rPr>
        <w:t>בהתאם לאמור.</w:t>
      </w:r>
      <w:r w:rsidR="004127E0" w:rsidRPr="00DE4A79">
        <w:rPr>
          <w:rFonts w:ascii="David" w:hAnsi="David" w:cs="David"/>
          <w:sz w:val="24"/>
          <w:szCs w:val="24"/>
          <w:rtl/>
        </w:rPr>
        <w:t xml:space="preserve"> עלות חוות הדעת תשולם על ידי הצדדים בחלקים שווים. </w:t>
      </w:r>
    </w:p>
    <w:p w:rsidR="004127E0" w:rsidRDefault="004127E0" w:rsidP="00DE4A79">
      <w:pPr>
        <w:pStyle w:val="ad"/>
        <w:jc w:val="both"/>
        <w:rPr>
          <w:rFonts w:ascii="David" w:hAnsi="David" w:cs="David"/>
          <w:sz w:val="24"/>
          <w:szCs w:val="24"/>
        </w:rPr>
      </w:pPr>
    </w:p>
    <w:p w:rsidR="004127E0" w:rsidRDefault="004127E0" w:rsidP="009303F8">
      <w:pPr>
        <w:pStyle w:val="ad"/>
        <w:numPr>
          <w:ilvl w:val="0"/>
          <w:numId w:val="1"/>
        </w:numPr>
        <w:spacing w:after="0" w:line="360" w:lineRule="auto"/>
        <w:ind w:left="357" w:hanging="357"/>
        <w:jc w:val="both"/>
        <w:rPr>
          <w:rFonts w:ascii="David" w:hAnsi="David" w:cs="David"/>
          <w:sz w:val="24"/>
          <w:szCs w:val="24"/>
          <w:rtl/>
        </w:rPr>
      </w:pPr>
      <w:r>
        <w:rPr>
          <w:rFonts w:ascii="David" w:hAnsi="David" w:cs="David"/>
          <w:sz w:val="24"/>
          <w:szCs w:val="24"/>
          <w:rtl/>
        </w:rPr>
        <w:t>הנתבע יעביר לתובעת בתוך 30 ימים</w:t>
      </w:r>
      <w:r w:rsidR="009303F8">
        <w:rPr>
          <w:rFonts w:ascii="David" w:hAnsi="David" w:cs="David"/>
          <w:sz w:val="24"/>
          <w:szCs w:val="24"/>
          <w:rtl/>
        </w:rPr>
        <w:t xml:space="preserve"> מחצית שווי הרכב המשותף מסוג</w:t>
      </w:r>
      <w:r w:rsidR="009303F8">
        <w:rPr>
          <w:rFonts w:ascii="David" w:hAnsi="David" w:cs="David" w:hint="cs"/>
          <w:sz w:val="24"/>
          <w:szCs w:val="24"/>
          <w:rtl/>
        </w:rPr>
        <w:t xml:space="preserve"> *** </w:t>
      </w:r>
      <w:r>
        <w:rPr>
          <w:rFonts w:ascii="David" w:hAnsi="David" w:cs="David" w:hint="cs"/>
          <w:sz w:val="24"/>
          <w:szCs w:val="24"/>
          <w:rtl/>
        </w:rPr>
        <w:t xml:space="preserve">מס' </w:t>
      </w:r>
    </w:p>
    <w:p w:rsidR="004127E0" w:rsidRDefault="004127E0" w:rsidP="009303F8">
      <w:pPr>
        <w:pStyle w:val="ad"/>
        <w:spacing w:after="0" w:line="360" w:lineRule="auto"/>
        <w:ind w:left="357"/>
        <w:jc w:val="both"/>
        <w:rPr>
          <w:rFonts w:ascii="David" w:hAnsi="David" w:cs="David"/>
          <w:sz w:val="24"/>
          <w:szCs w:val="24"/>
        </w:rPr>
      </w:pPr>
      <w:r>
        <w:rPr>
          <w:rFonts w:ascii="David" w:hAnsi="David" w:cs="David"/>
          <w:sz w:val="24"/>
          <w:szCs w:val="24"/>
          <w:rtl/>
        </w:rPr>
        <w:t>רישוי</w:t>
      </w:r>
      <w:r w:rsidR="005A2658">
        <w:rPr>
          <w:rFonts w:ascii="David" w:hAnsi="David" w:cs="David" w:hint="cs"/>
          <w:sz w:val="24"/>
          <w:szCs w:val="24"/>
          <w:rtl/>
        </w:rPr>
        <w:t xml:space="preserve"> </w:t>
      </w:r>
      <w:r>
        <w:rPr>
          <w:rFonts w:ascii="David" w:hAnsi="David" w:cs="David"/>
          <w:sz w:val="24"/>
          <w:szCs w:val="24"/>
        </w:rPr>
        <w:t xml:space="preserve"> </w:t>
      </w:r>
      <w:r w:rsidR="009303F8">
        <w:rPr>
          <w:rFonts w:ascii="David" w:hAnsi="David" w:cs="David"/>
          <w:sz w:val="24"/>
          <w:szCs w:val="24"/>
        </w:rPr>
        <w:t>***</w:t>
      </w:r>
      <w:r>
        <w:rPr>
          <w:rFonts w:ascii="David" w:hAnsi="David" w:cs="David" w:hint="cs"/>
          <w:sz w:val="24"/>
          <w:szCs w:val="24"/>
          <w:rtl/>
        </w:rPr>
        <w:t>בהתאם למחירון רכב "לוי יצחק" נכון למועד הקרע- 17.6.2018.</w:t>
      </w:r>
    </w:p>
    <w:p w:rsidR="004127E0" w:rsidRDefault="004127E0" w:rsidP="00DE4A79">
      <w:pPr>
        <w:pStyle w:val="ad"/>
        <w:spacing w:after="0" w:line="360" w:lineRule="auto"/>
        <w:ind w:left="357"/>
        <w:jc w:val="both"/>
        <w:rPr>
          <w:rFonts w:ascii="David" w:hAnsi="David" w:cs="David"/>
          <w:sz w:val="24"/>
          <w:szCs w:val="24"/>
          <w:rtl/>
        </w:rPr>
      </w:pPr>
    </w:p>
    <w:p w:rsidR="004127E0" w:rsidRDefault="004127E0" w:rsidP="00DE4A79">
      <w:pPr>
        <w:pStyle w:val="ad"/>
        <w:numPr>
          <w:ilvl w:val="0"/>
          <w:numId w:val="1"/>
        </w:numPr>
        <w:spacing w:after="0" w:line="360" w:lineRule="auto"/>
        <w:jc w:val="both"/>
        <w:rPr>
          <w:rFonts w:ascii="David" w:eastAsia="Times New Roman" w:hAnsi="David" w:cs="David"/>
          <w:noProof/>
          <w:sz w:val="24"/>
          <w:szCs w:val="24"/>
        </w:rPr>
      </w:pPr>
      <w:r>
        <w:rPr>
          <w:rFonts w:ascii="David" w:hAnsi="David" w:cs="David"/>
          <w:sz w:val="24"/>
          <w:szCs w:val="24"/>
          <w:rtl/>
        </w:rPr>
        <w:t>בשאלת ההוצאות- נוכח התוצאה שלעיל ובהינתן כי הצדדים צמצמו את גדרי המחלוקת תוך גיבוש הסכמות שונות כל צד י</w:t>
      </w:r>
      <w:r w:rsidR="00CF2B7A">
        <w:rPr>
          <w:rFonts w:ascii="David" w:hAnsi="David" w:cs="David" w:hint="cs"/>
          <w:sz w:val="24"/>
          <w:szCs w:val="24"/>
          <w:rtl/>
        </w:rPr>
        <w:t>י</w:t>
      </w:r>
      <w:r>
        <w:rPr>
          <w:rFonts w:ascii="David" w:hAnsi="David" w:cs="David"/>
          <w:sz w:val="24"/>
          <w:szCs w:val="24"/>
          <w:rtl/>
        </w:rPr>
        <w:t xml:space="preserve">שא בהוצאותיו. </w:t>
      </w:r>
    </w:p>
    <w:p w:rsidR="004127E0" w:rsidRDefault="004127E0" w:rsidP="00DE4A79">
      <w:pPr>
        <w:pStyle w:val="ad"/>
        <w:spacing w:after="0" w:line="360" w:lineRule="auto"/>
        <w:ind w:left="360"/>
        <w:jc w:val="both"/>
        <w:rPr>
          <w:rFonts w:ascii="David" w:eastAsia="Times New Roman" w:hAnsi="David" w:cs="David"/>
          <w:noProof/>
          <w:sz w:val="24"/>
          <w:szCs w:val="24"/>
        </w:rPr>
      </w:pPr>
    </w:p>
    <w:p w:rsidR="004127E0" w:rsidRPr="004127E0" w:rsidRDefault="004127E0" w:rsidP="00DE4A79">
      <w:pPr>
        <w:pStyle w:val="ad"/>
        <w:numPr>
          <w:ilvl w:val="0"/>
          <w:numId w:val="1"/>
        </w:numPr>
        <w:spacing w:after="0" w:line="360" w:lineRule="auto"/>
        <w:jc w:val="both"/>
        <w:rPr>
          <w:rFonts w:ascii="David" w:eastAsia="Times New Roman" w:hAnsi="David" w:cs="David"/>
          <w:noProof/>
          <w:sz w:val="24"/>
          <w:szCs w:val="24"/>
          <w:rtl/>
        </w:rPr>
      </w:pPr>
      <w:r>
        <w:rPr>
          <w:rFonts w:ascii="David" w:hAnsi="David" w:cs="David" w:hint="cs"/>
          <w:sz w:val="24"/>
          <w:szCs w:val="24"/>
          <w:rtl/>
        </w:rPr>
        <w:t>ה</w:t>
      </w:r>
      <w:r w:rsidRPr="004127E0">
        <w:rPr>
          <w:rFonts w:ascii="David" w:hAnsi="David" w:cs="David"/>
          <w:sz w:val="24"/>
          <w:szCs w:val="24"/>
          <w:rtl/>
        </w:rPr>
        <w:t xml:space="preserve">מזכירות תמציא העתק פסק הדין לצדדים ותסגור את התיק. </w:t>
      </w:r>
    </w:p>
    <w:p w:rsidR="004127E0" w:rsidRDefault="004127E0" w:rsidP="004127E0">
      <w:pPr>
        <w:spacing w:line="360" w:lineRule="auto"/>
        <w:jc w:val="both"/>
        <w:rPr>
          <w:rFonts w:ascii="David" w:hAnsi="David"/>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שבט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ינואר 2024</w:t>
          </w:r>
        </w:sdtContent>
      </w:sdt>
      <w:r w:rsidR="00005C8B">
        <w:rPr>
          <w:rFonts w:ascii="Arial" w:hAnsi="Arial"/>
          <w:noProof w:val="0"/>
          <w:rtl/>
        </w:rPr>
        <w:t>, בהעדר הצדדים.</w:t>
      </w:r>
    </w:p>
    <w:p w:rsidR="00C43648" w:rsidRDefault="00620E0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26839966"/>
        </w:sdtPr>
        <w:sdtEndPr/>
        <w:sdtContent>
          <w:r w:rsidR="009303F8">
            <w:t>___________________</w:t>
          </w:r>
        </w:sdtContent>
      </w:sdt>
    </w:p>
    <w:p w:rsidR="00694556" w:rsidRDefault="009303F8" w:rsidP="00BD6531">
      <w:pPr>
        <w:tabs>
          <w:tab w:val="left" w:pos="2553"/>
        </w:tabs>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אפרת שהם- דליות, שופטת</w:t>
      </w: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E0D" w:rsidRDefault="00620E0D">
      <w:r>
        <w:separator/>
      </w:r>
    </w:p>
  </w:endnote>
  <w:endnote w:type="continuationSeparator" w:id="0">
    <w:p w:rsidR="00620E0D" w:rsidRDefault="0062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20E0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20E0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E0D" w:rsidRDefault="00620E0D">
      <w:r>
        <w:separator/>
      </w:r>
    </w:p>
  </w:footnote>
  <w:footnote w:type="continuationSeparator" w:id="0">
    <w:p w:rsidR="00620E0D" w:rsidRDefault="00620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20E0D" w:rsidP="00157A98">
          <w:pPr>
            <w:rPr>
              <w:b/>
              <w:bCs/>
              <w:noProof w:val="0"/>
              <w:sz w:val="26"/>
              <w:szCs w:val="26"/>
              <w:rtl/>
            </w:rPr>
          </w:pPr>
          <w:sdt>
            <w:sdtPr>
              <w:rPr>
                <w:rtl/>
              </w:rPr>
              <w:alias w:val="1170"/>
              <w:tag w:val="1170"/>
              <w:id w:val="1066377040"/>
              <w:text w:multiLine="1"/>
            </w:sdtPr>
            <w:sdtEndPr/>
            <w:sdtContent>
              <w:r w:rsidR="000964A6">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964A6">
                <w:rPr>
                  <w:b/>
                  <w:bCs/>
                  <w:noProof w:val="0"/>
                  <w:sz w:val="26"/>
                  <w:szCs w:val="26"/>
                  <w:rtl/>
                </w:rPr>
                <w:t>57821-02-21</w:t>
              </w:r>
            </w:sdtContent>
          </w:sdt>
          <w:r w:rsidR="00005C8B">
            <w:rPr>
              <w:b/>
              <w:bCs/>
              <w:noProof w:val="0"/>
              <w:sz w:val="26"/>
              <w:szCs w:val="26"/>
              <w:rtl/>
            </w:rPr>
            <w:t xml:space="preserve"> </w:t>
          </w:r>
          <w:sdt>
            <w:sdtPr>
              <w:rPr>
                <w:rtl/>
              </w:rPr>
              <w:alias w:val="1172"/>
              <w:tag w:val="1172"/>
              <w:id w:val="-595170033"/>
              <w:text w:multiLine="1"/>
            </w:sdtPr>
            <w:sdtEndPr/>
            <w:sdtContent/>
          </w:sdt>
        </w:p>
        <w:p w:rsidR="007D45E3" w:rsidRPr="007B7765" w:rsidRDefault="007D45E3" w:rsidP="007D45E3">
          <w:pPr>
            <w:rPr>
              <w:b/>
              <w:bCs/>
              <w:noProof w:val="0"/>
              <w:sz w:val="2"/>
              <w:szCs w:val="2"/>
              <w:rtl/>
            </w:rPr>
          </w:pPr>
        </w:p>
        <w:p w:rsidR="008D10B2" w:rsidRPr="00E1068A" w:rsidRDefault="007D45E3" w:rsidP="00AE3E7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4A49ED"/>
    <w:multiLevelType w:val="hybridMultilevel"/>
    <w:tmpl w:val="94FCFDF2"/>
    <w:lvl w:ilvl="0" w:tplc="B26C7B80">
      <w:start w:val="1"/>
      <w:numFmt w:val="decimal"/>
      <w:lvlText w:val="%1."/>
      <w:lvlJc w:val="left"/>
      <w:pPr>
        <w:ind w:left="360" w:hanging="360"/>
      </w:pPr>
      <w:rPr>
        <w:b w:val="0"/>
        <w:bCs w:val="0"/>
        <w:lang w:val="en-US" w:bidi="he-IL"/>
      </w:rPr>
    </w:lvl>
    <w:lvl w:ilvl="1" w:tplc="04090019">
      <w:start w:val="1"/>
      <w:numFmt w:val="lowerLetter"/>
      <w:lvlText w:val="%2."/>
      <w:lvlJc w:val="left"/>
      <w:pPr>
        <w:ind w:left="1164" w:hanging="360"/>
      </w:pPr>
    </w:lvl>
    <w:lvl w:ilvl="2" w:tplc="0409001B">
      <w:start w:val="1"/>
      <w:numFmt w:val="lowerRoman"/>
      <w:lvlText w:val="%3."/>
      <w:lvlJc w:val="right"/>
      <w:pPr>
        <w:ind w:left="1884" w:hanging="180"/>
      </w:pPr>
    </w:lvl>
    <w:lvl w:ilvl="3" w:tplc="0409000F">
      <w:start w:val="1"/>
      <w:numFmt w:val="decimal"/>
      <w:lvlText w:val="%4."/>
      <w:lvlJc w:val="left"/>
      <w:pPr>
        <w:ind w:left="2604" w:hanging="360"/>
      </w:pPr>
    </w:lvl>
    <w:lvl w:ilvl="4" w:tplc="04090019">
      <w:start w:val="1"/>
      <w:numFmt w:val="lowerLetter"/>
      <w:lvlText w:val="%5."/>
      <w:lvlJc w:val="left"/>
      <w:pPr>
        <w:ind w:left="3324" w:hanging="360"/>
      </w:pPr>
    </w:lvl>
    <w:lvl w:ilvl="5" w:tplc="0409001B">
      <w:start w:val="1"/>
      <w:numFmt w:val="lowerRoman"/>
      <w:lvlText w:val="%6."/>
      <w:lvlJc w:val="right"/>
      <w:pPr>
        <w:ind w:left="4044" w:hanging="180"/>
      </w:pPr>
    </w:lvl>
    <w:lvl w:ilvl="6" w:tplc="0409000F">
      <w:start w:val="1"/>
      <w:numFmt w:val="decimal"/>
      <w:lvlText w:val="%7."/>
      <w:lvlJc w:val="left"/>
      <w:pPr>
        <w:ind w:left="4764" w:hanging="360"/>
      </w:pPr>
    </w:lvl>
    <w:lvl w:ilvl="7" w:tplc="04090019">
      <w:start w:val="1"/>
      <w:numFmt w:val="lowerLetter"/>
      <w:lvlText w:val="%8."/>
      <w:lvlJc w:val="left"/>
      <w:pPr>
        <w:ind w:left="5484" w:hanging="360"/>
      </w:pPr>
    </w:lvl>
    <w:lvl w:ilvl="8" w:tplc="0409001B">
      <w:start w:val="1"/>
      <w:numFmt w:val="lowerRoman"/>
      <w:lvlText w:val="%9."/>
      <w:lvlJc w:val="right"/>
      <w:pPr>
        <w:ind w:left="6204" w:hanging="180"/>
      </w:pPr>
    </w:lvl>
  </w:abstractNum>
  <w:abstractNum w:abstractNumId="1" w15:restartNumberingAfterBreak="0">
    <w:nsid w:val="50A100FC"/>
    <w:multiLevelType w:val="hybridMultilevel"/>
    <w:tmpl w:val="C226A19C"/>
    <w:lvl w:ilvl="0" w:tplc="5D6A1694">
      <w:start w:val="3"/>
      <w:numFmt w:val="bullet"/>
      <w:lvlText w:val="-"/>
      <w:lvlJc w:val="left"/>
      <w:pPr>
        <w:ind w:left="720" w:hanging="360"/>
      </w:pPr>
      <w:rPr>
        <w:rFonts w:ascii="David" w:eastAsiaTheme="minorHAnsi" w:hAnsi="David" w:cs="David" w:hint="default"/>
        <w:b/>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4291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42919&amp;lt;/CaseID&amp;gt;_x000d__x000a_        &amp;lt;CaseMonth&amp;gt;2&amp;lt;/CaseMonth&amp;gt;_x000d__x000a_        &amp;lt;CaseYear&amp;gt;2021&amp;lt;/CaseYear&amp;gt;_x000d__x000a_        &amp;lt;CaseNumber&amp;gt;57821&amp;lt;/CaseNumber&amp;gt;_x000d__x000a_        &amp;lt;NumeratorGroupID&amp;gt;1&amp;lt;/NumeratorGroupID&amp;gt;_x000d__x000a_        &amp;lt;CaseName&amp;gt;לוי נ&amp;#39; לוי&amp;lt;/CaseName&amp;gt;_x000d__x000a_        &amp;lt;CourtID&amp;gt;41&amp;lt;/CourtID&amp;gt;_x000d__x000a_        &amp;lt;CaseTypeID&amp;gt;10262&amp;lt;/CaseTypeID&amp;gt;_x000d__x000a_        &amp;lt;CaseInterestID&amp;gt;10513&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821-02-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2-26T07:00: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תצהיר עדות ראשית כרוך ומדוגל התקבל במזכירות שרות לקהל-הועבר לכב&amp;#39; השופטת אפרת שהם דליו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42919&amp;lt;/CaseID&amp;gt;_x000d__x000a_        &amp;lt;CaseMonth&amp;gt;2&amp;lt;/CaseMonth&amp;gt;_x000d__x000a_        &amp;lt;CaseYear&amp;gt;2021&amp;lt;/CaseYear&amp;gt;_x000d__x000a_        &amp;lt;CaseNumber&amp;gt;57821&amp;lt;/CaseNumber&amp;gt;_x000d__x000a_        &amp;lt;NumeratorGroupID&amp;gt;1&amp;lt;/NumeratorGroupID&amp;gt;_x000d__x000a_        &amp;lt;CaseName&amp;gt;לוי נ&amp;#39; לוי&amp;lt;/CaseName&amp;gt;_x000d__x000a_        &amp;lt;CourtID&amp;gt;41&amp;lt;/CourtID&amp;gt;_x000d__x000a_        &amp;lt;CaseTypeID&amp;gt;10262&amp;lt;/CaseTypeID&amp;gt;_x000d__x000a_        &amp;lt;CaseInterestID&amp;gt;10513&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821-02-21&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1-02-26T07:00: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תצהיר עדות ראשית כרוך ומדוגל התקבל במזכירות שרות לקהל-הועבר לכב&amp;#39; השופטת אפרת שהם דליו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272840&amp;lt;/DecisionID&amp;gt;_x000d__x000a_        &amp;lt;DecisionName&amp;gt;פסק דין  שניתנה ע&amp;quot;י  אפרת שהם דליות&amp;lt;/DecisionName&amp;gt;_x000d__x000a_        &amp;lt;DecisionStatusID&amp;gt;1&amp;lt;/DecisionStatusID&amp;gt;_x000d__x000a_        &amp;lt;DecisionStatusChangeDate&amp;gt;2024-01-16T18:26:35.473+02:00&amp;lt;/DecisionStatusChangeDate&amp;gt;_x000d__x000a_        &amp;lt;DecisionSignatureDate&amp;gt;2024-01-16T18:22:15.78+02:00&amp;lt;/DecisionSignatureDate&amp;gt;_x000d__x000a_        &amp;lt;DecisionSignatureUserID&amp;gt;031902232@GOV.IL&amp;lt;/DecisionSignatureUserID&amp;gt;_x000d__x000a_        &amp;lt;DecisionCreateDate&amp;gt;2024-01-16T18:25:42.577+02:00&amp;lt;/DecisionCreateDate&amp;gt;_x000d__x000a_        &amp;lt;DecisionChangeDate&amp;gt;2024-01-16T18:26:35.547+02:00&amp;lt;/DecisionChangeDate&amp;gt;_x000d__x000a_        &amp;lt;DecisionChangeUserID&amp;gt;03190223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174582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0223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02232@GOV.IL&amp;lt;/DecisionCreationUserID&amp;gt;_x000d__x000a_        &amp;lt;DecisionDisplayName&amp;gt;פסק דין  שניתנה ע&amp;quot;י  אפרת שהם דליות&amp;lt;/DecisionDisplayName&amp;gt;_x000d__x000a_        &amp;lt;IsScanned&amp;gt;false&amp;lt;/IsScanned&amp;gt;_x000d__x000a_        &amp;lt;DecisionSignatureUserName&amp;gt;אפרת שהם דלי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49272840&amp;lt;/DecisionID&amp;gt;_x000d__x000a_        &amp;lt;CaseID&amp;gt;78142919&amp;lt;/CaseID&amp;gt;_x000d__x000a_        &amp;lt;IsOriginal&amp;gt;true&amp;lt;/IsOriginal&amp;gt;_x000d__x000a_        &amp;lt;IsDeleted&amp;gt;false&amp;lt;/IsDeleted&amp;gt;_x000d__x000a_        &amp;lt;CaseName&amp;gt;לוי נ&amp;#39; לוי&amp;lt;/CaseName&amp;gt;_x000d__x000a_        &amp;lt;CaseDisplayIdentifier&amp;gt;57821-02-21 תלה&amp;quot;מ&amp;lt;/CaseDisplayIdentifier&amp;gt;_x000d__x000a_      &amp;lt;/dt_DecisionCase&amp;gt;_x000d__x000a_    &amp;lt;/DecisionDS&amp;gt;_x000d__x000a_  &amp;lt;/diffgr:diffgram&amp;gt;_x000d__x000a_&amp;lt;/DecisionDS&amp;gt;"/>
    <w:docVar w:name="DecisionID" w:val="149272840"/>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4A6"/>
    <w:rsid w:val="00096AF7"/>
    <w:rsid w:val="000B344B"/>
    <w:rsid w:val="000C3B0F"/>
    <w:rsid w:val="000C3B60"/>
    <w:rsid w:val="000E0DD2"/>
    <w:rsid w:val="000E3AF1"/>
    <w:rsid w:val="000F0BC8"/>
    <w:rsid w:val="000F0DD6"/>
    <w:rsid w:val="000F386A"/>
    <w:rsid w:val="00107E6D"/>
    <w:rsid w:val="0011194C"/>
    <w:rsid w:val="0011424C"/>
    <w:rsid w:val="001173C6"/>
    <w:rsid w:val="00120A21"/>
    <w:rsid w:val="00122C37"/>
    <w:rsid w:val="001367BC"/>
    <w:rsid w:val="00144D2A"/>
    <w:rsid w:val="0014653E"/>
    <w:rsid w:val="00157A98"/>
    <w:rsid w:val="00180519"/>
    <w:rsid w:val="00191C82"/>
    <w:rsid w:val="00193541"/>
    <w:rsid w:val="001C4003"/>
    <w:rsid w:val="001D0DCD"/>
    <w:rsid w:val="001D4DBF"/>
    <w:rsid w:val="001D4FEB"/>
    <w:rsid w:val="001E1C4C"/>
    <w:rsid w:val="001E65F2"/>
    <w:rsid w:val="001E75CA"/>
    <w:rsid w:val="002265FF"/>
    <w:rsid w:val="00271B56"/>
    <w:rsid w:val="002C344E"/>
    <w:rsid w:val="002E75E9"/>
    <w:rsid w:val="00307A6A"/>
    <w:rsid w:val="00307C40"/>
    <w:rsid w:val="00310C49"/>
    <w:rsid w:val="00320433"/>
    <w:rsid w:val="003230C7"/>
    <w:rsid w:val="00327E50"/>
    <w:rsid w:val="0033597A"/>
    <w:rsid w:val="00335F63"/>
    <w:rsid w:val="00343D89"/>
    <w:rsid w:val="00362612"/>
    <w:rsid w:val="0036743F"/>
    <w:rsid w:val="003715DD"/>
    <w:rsid w:val="003823E0"/>
    <w:rsid w:val="003A4521"/>
    <w:rsid w:val="003D1C8C"/>
    <w:rsid w:val="003D29DE"/>
    <w:rsid w:val="003D5AB9"/>
    <w:rsid w:val="003D763D"/>
    <w:rsid w:val="0040096C"/>
    <w:rsid w:val="004127E0"/>
    <w:rsid w:val="00414F1F"/>
    <w:rsid w:val="0043125D"/>
    <w:rsid w:val="0043502B"/>
    <w:rsid w:val="004443AC"/>
    <w:rsid w:val="00451E28"/>
    <w:rsid w:val="004620F5"/>
    <w:rsid w:val="00462C62"/>
    <w:rsid w:val="00465D36"/>
    <w:rsid w:val="004A4522"/>
    <w:rsid w:val="004C17EE"/>
    <w:rsid w:val="004C4BDF"/>
    <w:rsid w:val="004D1187"/>
    <w:rsid w:val="004D3AA0"/>
    <w:rsid w:val="004E1987"/>
    <w:rsid w:val="004E2E15"/>
    <w:rsid w:val="004E6E3C"/>
    <w:rsid w:val="00520898"/>
    <w:rsid w:val="00523621"/>
    <w:rsid w:val="00524986"/>
    <w:rsid w:val="005268F6"/>
    <w:rsid w:val="00534284"/>
    <w:rsid w:val="00547DB7"/>
    <w:rsid w:val="005A2658"/>
    <w:rsid w:val="005F4F09"/>
    <w:rsid w:val="0061431B"/>
    <w:rsid w:val="00620E0D"/>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28D1"/>
    <w:rsid w:val="00753019"/>
    <w:rsid w:val="00754801"/>
    <w:rsid w:val="00761441"/>
    <w:rsid w:val="00795365"/>
    <w:rsid w:val="007A351D"/>
    <w:rsid w:val="007B7765"/>
    <w:rsid w:val="007C5BDD"/>
    <w:rsid w:val="007D45E3"/>
    <w:rsid w:val="007E6115"/>
    <w:rsid w:val="007F32C9"/>
    <w:rsid w:val="007F4609"/>
    <w:rsid w:val="00814468"/>
    <w:rsid w:val="008176A1"/>
    <w:rsid w:val="00820005"/>
    <w:rsid w:val="00844318"/>
    <w:rsid w:val="00863F5D"/>
    <w:rsid w:val="00870890"/>
    <w:rsid w:val="00873602"/>
    <w:rsid w:val="00875D12"/>
    <w:rsid w:val="0088479D"/>
    <w:rsid w:val="00896889"/>
    <w:rsid w:val="008C5714"/>
    <w:rsid w:val="008D10B2"/>
    <w:rsid w:val="008E6E48"/>
    <w:rsid w:val="00903896"/>
    <w:rsid w:val="00906F3D"/>
    <w:rsid w:val="009303F8"/>
    <w:rsid w:val="0094424E"/>
    <w:rsid w:val="00955642"/>
    <w:rsid w:val="009622DF"/>
    <w:rsid w:val="00967DFF"/>
    <w:rsid w:val="009825DA"/>
    <w:rsid w:val="00994341"/>
    <w:rsid w:val="009B3B5F"/>
    <w:rsid w:val="009D1A48"/>
    <w:rsid w:val="009E1CE7"/>
    <w:rsid w:val="009E4EA5"/>
    <w:rsid w:val="009F164B"/>
    <w:rsid w:val="009F323C"/>
    <w:rsid w:val="00A3392B"/>
    <w:rsid w:val="00A42BD7"/>
    <w:rsid w:val="00A85E34"/>
    <w:rsid w:val="00A94B64"/>
    <w:rsid w:val="00AA3229"/>
    <w:rsid w:val="00AA7596"/>
    <w:rsid w:val="00AB5E52"/>
    <w:rsid w:val="00AC3B02"/>
    <w:rsid w:val="00AC3B7B"/>
    <w:rsid w:val="00AC5209"/>
    <w:rsid w:val="00AC60AD"/>
    <w:rsid w:val="00AE3E77"/>
    <w:rsid w:val="00AE729E"/>
    <w:rsid w:val="00AE7752"/>
    <w:rsid w:val="00AF7FDA"/>
    <w:rsid w:val="00B5356E"/>
    <w:rsid w:val="00B809AD"/>
    <w:rsid w:val="00B80CBD"/>
    <w:rsid w:val="00B86096"/>
    <w:rsid w:val="00B86C07"/>
    <w:rsid w:val="00B964D9"/>
    <w:rsid w:val="00BA0A7C"/>
    <w:rsid w:val="00BA517C"/>
    <w:rsid w:val="00BB3D05"/>
    <w:rsid w:val="00BB73BE"/>
    <w:rsid w:val="00BC2D89"/>
    <w:rsid w:val="00BD6531"/>
    <w:rsid w:val="00BE05B2"/>
    <w:rsid w:val="00BE0ADF"/>
    <w:rsid w:val="00BF1908"/>
    <w:rsid w:val="00C22D93"/>
    <w:rsid w:val="00C23458"/>
    <w:rsid w:val="00C31120"/>
    <w:rsid w:val="00C34482"/>
    <w:rsid w:val="00C43648"/>
    <w:rsid w:val="00C50A9F"/>
    <w:rsid w:val="00C642FA"/>
    <w:rsid w:val="00CC7622"/>
    <w:rsid w:val="00CD608F"/>
    <w:rsid w:val="00CF2B7A"/>
    <w:rsid w:val="00D04AA4"/>
    <w:rsid w:val="00D27982"/>
    <w:rsid w:val="00D327F4"/>
    <w:rsid w:val="00D33B86"/>
    <w:rsid w:val="00D53924"/>
    <w:rsid w:val="00D55D0C"/>
    <w:rsid w:val="00D96D8C"/>
    <w:rsid w:val="00DA6649"/>
    <w:rsid w:val="00DC1259"/>
    <w:rsid w:val="00DC1BD2"/>
    <w:rsid w:val="00DC2571"/>
    <w:rsid w:val="00DC487C"/>
    <w:rsid w:val="00DE1E7D"/>
    <w:rsid w:val="00DE4A79"/>
    <w:rsid w:val="00DE6BF6"/>
    <w:rsid w:val="00E1068A"/>
    <w:rsid w:val="00E25884"/>
    <w:rsid w:val="00E25B55"/>
    <w:rsid w:val="00E31C2B"/>
    <w:rsid w:val="00E5426A"/>
    <w:rsid w:val="00E54642"/>
    <w:rsid w:val="00E80CBE"/>
    <w:rsid w:val="00E962E3"/>
    <w:rsid w:val="00EB6C79"/>
    <w:rsid w:val="00EC37E9"/>
    <w:rsid w:val="00F06995"/>
    <w:rsid w:val="00F13623"/>
    <w:rsid w:val="00F44D1D"/>
    <w:rsid w:val="00F748E1"/>
    <w:rsid w:val="00F84B6D"/>
    <w:rsid w:val="00FA5FDA"/>
    <w:rsid w:val="00FB6AB3"/>
    <w:rsid w:val="00FD1419"/>
    <w:rsid w:val="00FD180D"/>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127E0"/>
    <w:pPr>
      <w:spacing w:after="160" w:line="252"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22713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01F6C" w:rsidP="00201F6C">
          <w:pPr>
            <w:pStyle w:val="E460D38E05664FF79D4EFF282EF8EC9915"/>
          </w:pPr>
          <w:r>
            <w:rPr>
              <w:rFonts w:hint="cs"/>
              <w:rtl/>
            </w:rPr>
            <w:t xml:space="preserve">     </w:t>
          </w:r>
        </w:p>
      </w:docPartBody>
    </w:docPart>
    <w:docPart>
      <w:docPartPr>
        <w:name w:val="E1D428B32AE54FA8B4D0E3C277F79364"/>
        <w:category>
          <w:name w:val="כללי"/>
          <w:gallery w:val="placeholder"/>
        </w:category>
        <w:types>
          <w:type w:val="bbPlcHdr"/>
        </w:types>
        <w:behaviors>
          <w:behavior w:val="content"/>
        </w:behaviors>
        <w:guid w:val="{68E904F3-EEC0-40D4-B914-6E34480C26CB}"/>
      </w:docPartPr>
      <w:docPartBody>
        <w:p w:rsidR="00201F6C" w:rsidRDefault="00201F6C" w:rsidP="00201F6C">
          <w:pPr>
            <w:pStyle w:val="E1D428B32AE54FA8B4D0E3C277F79364"/>
          </w:pPr>
          <w:r w:rsidRPr="00AE3E77">
            <w:rPr>
              <w:rFonts w:ascii="Arial" w:hAnsi="Arial" w:hint="eastAsia"/>
              <w:b/>
              <w:bCs/>
              <w:noProof w:val="0"/>
              <w:sz w:val="26"/>
              <w:szCs w:val="26"/>
              <w:rtl/>
            </w:rPr>
            <w:t>מספר</w:t>
          </w:r>
          <w:r w:rsidRPr="00AE3E77">
            <w:rPr>
              <w:rFonts w:ascii="Arial" w:hAnsi="Arial"/>
              <w:b/>
              <w:bCs/>
              <w:noProof w:val="0"/>
              <w:sz w:val="26"/>
              <w:szCs w:val="26"/>
              <w:rtl/>
            </w:rPr>
            <w:t xml:space="preserve"> זיהוי צד א'</w:t>
          </w:r>
        </w:p>
      </w:docPartBody>
    </w:docPart>
    <w:docPart>
      <w:docPartPr>
        <w:name w:val="F0C200D36FCF4F5884C7408F30B556ED"/>
        <w:category>
          <w:name w:val="כללי"/>
          <w:gallery w:val="placeholder"/>
        </w:category>
        <w:types>
          <w:type w:val="bbPlcHdr"/>
        </w:types>
        <w:behaviors>
          <w:behavior w:val="content"/>
        </w:behaviors>
        <w:guid w:val="{0188CF6A-9C5E-4E2A-89BF-8C67C241DDE3}"/>
      </w:docPartPr>
      <w:docPartBody>
        <w:p w:rsidR="00201F6C" w:rsidRDefault="00201F6C" w:rsidP="00201F6C">
          <w:pPr>
            <w:pStyle w:val="F0C200D36FCF4F5884C7408F30B556ED"/>
          </w:pPr>
          <w:r w:rsidRPr="00AE3E77">
            <w:rPr>
              <w:rFonts w:ascii="Arial" w:hAnsi="Arial" w:hint="eastAsia"/>
              <w:b/>
              <w:bCs/>
              <w:noProof w:val="0"/>
              <w:sz w:val="26"/>
              <w:szCs w:val="26"/>
              <w:rtl/>
            </w:rPr>
            <w:t>מספר</w:t>
          </w:r>
          <w:r w:rsidRPr="00AE3E77">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01F6C"/>
    <w:rsid w:val="002D02C4"/>
    <w:rsid w:val="00345C9D"/>
    <w:rsid w:val="0048651F"/>
    <w:rsid w:val="005157ED"/>
    <w:rsid w:val="00556D67"/>
    <w:rsid w:val="00793995"/>
    <w:rsid w:val="007C6F98"/>
    <w:rsid w:val="007E254A"/>
    <w:rsid w:val="008315F9"/>
    <w:rsid w:val="008B4366"/>
    <w:rsid w:val="009133C7"/>
    <w:rsid w:val="009178E4"/>
    <w:rsid w:val="00961B27"/>
    <w:rsid w:val="00AA7CE3"/>
    <w:rsid w:val="00B71412"/>
    <w:rsid w:val="00B91FA3"/>
    <w:rsid w:val="00C96C06"/>
    <w:rsid w:val="00E31BF6"/>
    <w:rsid w:val="00E81DB1"/>
    <w:rsid w:val="00F04DC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1F6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FE03EA992EDF4420B9991EA8F4C8F4B4">
    <w:name w:val="FE03EA992EDF4420B9991EA8F4C8F4B4"/>
    <w:rsid w:val="00201F6C"/>
    <w:pPr>
      <w:bidi/>
      <w:spacing w:after="0" w:line="240" w:lineRule="auto"/>
    </w:pPr>
    <w:rPr>
      <w:rFonts w:ascii="Times New Roman" w:eastAsia="Times New Roman" w:hAnsi="Times New Roman" w:cs="David"/>
      <w:noProof/>
      <w:sz w:val="24"/>
      <w:szCs w:val="24"/>
    </w:rPr>
  </w:style>
  <w:style w:type="paragraph" w:customStyle="1" w:styleId="E1D428B32AE54FA8B4D0E3C277F79364">
    <w:name w:val="E1D428B32AE54FA8B4D0E3C277F79364"/>
    <w:rsid w:val="00201F6C"/>
    <w:pPr>
      <w:bidi/>
      <w:spacing w:after="0" w:line="240" w:lineRule="auto"/>
    </w:pPr>
    <w:rPr>
      <w:rFonts w:ascii="Times New Roman" w:eastAsia="Times New Roman" w:hAnsi="Times New Roman" w:cs="David"/>
      <w:noProof/>
      <w:sz w:val="24"/>
      <w:szCs w:val="24"/>
    </w:rPr>
  </w:style>
  <w:style w:type="paragraph" w:customStyle="1" w:styleId="A4C3FFE7063149D0B5BC4CCAB93CF535">
    <w:name w:val="A4C3FFE7063149D0B5BC4CCAB93CF535"/>
    <w:rsid w:val="00201F6C"/>
    <w:pPr>
      <w:bidi/>
      <w:spacing w:after="0" w:line="240" w:lineRule="auto"/>
    </w:pPr>
    <w:rPr>
      <w:rFonts w:ascii="Times New Roman" w:eastAsia="Times New Roman" w:hAnsi="Times New Roman" w:cs="David"/>
      <w:noProof/>
      <w:sz w:val="24"/>
      <w:szCs w:val="24"/>
    </w:rPr>
  </w:style>
  <w:style w:type="paragraph" w:customStyle="1" w:styleId="F0C200D36FCF4F5884C7408F30B556ED">
    <w:name w:val="F0C200D36FCF4F5884C7408F30B556ED"/>
    <w:rsid w:val="00201F6C"/>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201F6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78142919</CaseID>
    <CaseJudicialPersonPresentationDS>
      <CaseJudicalPersonActive>
        <CaseID>78142919</CaseID>
        <JudicialPersonID>031902232@GOV.IL</JudicialPersonID>
        <JudicialPersonTypeID>1</JudicialPersonTypeID>
        <JudicialTypeID>1</JudicialTypeID>
        <IsChairman>false</IsChairman>
        <TreatmentStartDate>2021-02-28T08:05:32.59+02:00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78142919</CaseID>
        <CaseJudicialPersonPresentationDS>
          <CaseJudicalPersonActive>
            <CaseID>78142919</CaseID>
            <JudicialPersonID>031902232@GOV.IL</JudicialPersonID>
            <JudicialPersonTypeID>1</JudicialPersonTypeID>
            <JudicialTypeID>1</JudicialTypeID>
            <IsChairman>false</IsChairman>
            <TreatmentStartDate>2021-02-28T08:05:32.59+02:00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226508343</CasePartyID>
        <PartyTypeID>5</PartyTypeID>
        <ActivityStatusID>1</ActivityStatusID>
        <PartyAliasID>102</PartyAliasID>
        <PartyAliasName>מומחה בית משפט</PartyAliasName>
        <LegalEntityID>71023342</LegalEntityID>
        <CaseLegalEntityID>115319371</CaseLegalEntityID>
        <AuthenticationTypeID>1</AuthenticationTypeID>
        <AuthenticationTypeName>ת"ז</AuthenticationTypeName>
        <LegalEntityNumber>024242158</LegalEntityNumber>
        <IsMainPartyType>true</IsMainPartyType>
        <CaseDisplayIdentifier>57821-02-21</CaseDisplayIdentifier>
        <CaseTypeID>10262</CaseTypeID>
        <CaseTypeName>תביעה לאחר הסדר התדיינויות במשפחה (תלה"מ)</CaseTypeName>
        <CaseName>לוי נ' לוי</CaseName>
        <FullAddress/>
        <MotionID>0</MotionID>
        <CasePleaID>0</CasePleaID>
        <FatherName xml:space="preserve">        </FatherName>
        <LinkedCaseID>0</LinkedCaseID>
        <CasePartyCategoryID>1</CasePartyCategoryID>
        <PleaTypeID>4</PleaTypeID>
        <GroupPartyAlias/>
        <IsConverted>false</IsConverted>
        <LegalEntityNameID>73878412</LegalEntityNameID>
        <RepresentatedNamesOfAssistant/>
        <LegalEntityTypeID>6</LegalEntityTypeID>
        <IsVerdictExists>false</IsVerdictExists>
        <IsAsirAzir>false</IsAsirAzir>
        <IsPublicationProhibited>false</IsPublicationProhibited>
        <PublicationProhibitedFullName>אבי יחזקאל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כרמל מזוז</FullName>
        <FirstName>כרמל</FirstName>
        <LastName>מזוז</LastName>
        <PartyPropertyName/>
        <AuthenticationTypeAndNumber>מ.ר. 41617</AuthenticationTypeAndNumber>
        <RepresentatedOrRepresentativesNames>שמעון לוי</RepresentatedOrRepresentativesNames>
        <RepresentatedOrRepresentativesCount>1</RepresentatedOrRepresentativesCount>
        <InvitedBy/>
        <CaseID>78142919</CaseID>
        <CaseJudicialPersonPresentationDS>
          <CaseJudicalPersonActive>
            <CaseID>78142919</CaseID>
            <JudicialPersonID>031902232@GOV.IL</JudicialPersonID>
            <JudicialPersonTypeID>1</JudicialPersonTypeID>
            <JudicialTypeID>1</JudicialTypeID>
            <IsChairman>false</IsChairman>
            <TreatmentStartDate>2021-02-28T08:05:32.59+02:00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223878212</CasePartyID>
        <PartyTypeID>2</PartyTypeID>
        <ActivityStatusID>1</ActivityStatusID>
        <PartyAliasID>21</PartyAliasID>
        <PartyAliasName>בא כוח נתבעים</PartyAliasName>
        <LegalEntityID>414833</LegalEntityID>
        <CaseLegalEntityID>114539832</CaseLegalEntityID>
        <AuthenticationTypeID>4</AuthenticationTypeID>
        <AuthenticationTypeName>מ.ר.</AuthenticationTypeName>
        <LegalEntityNumber>41617</LegalEntityNumber>
        <IsMainPartyType>true</IsMainPartyType>
        <CaseDisplayIdentifier>57821-02-21</CaseDisplayIdentifier>
        <CaseTypeID>10262</CaseTypeID>
        <CaseTypeName>תביעה לאחר הסדר התדיינויות במשפחה (תלה"מ)</CaseTypeName>
        <CaseName>לוי נ' לוי</CaseName>
        <FullAddress>בן צבי  10 באר שבע קומה 6</FullAddress>
        <EmailAddress>misrad22@gmail.com</EmailAddress>
        <MotionID>0</MotionID>
        <CasePleaID>0</CasePleaID>
        <LinkedCaseID>0</LinkedCaseID>
        <PartyID>2</PartyID>
        <CasePartyCategoryID>2</CasePartyCategoryID>
        <LegalEntityAddressID>76413424</LegalEntityAddressID>
        <LegalEntityEmailAddressID>67867230</LegalEntityEmailAddressID>
        <PleaTypeID>4</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IsPublicationProhibited>false</IsPublicationProhibited>
        <PublicationProhibitedFullName>כרמל מזוז</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נטלי ביטון</FullName>
        <FirstName>נטלי</FirstName>
        <LastName>ביטון</LastName>
        <PartyPropertyName/>
        <AuthenticationTypeAndNumber>מ.ר. 53036</AuthenticationTypeAndNumber>
        <RepresentatedOrRepresentativesNames>רוחמה לוי</RepresentatedOrRepresentativesNames>
        <RepresentatedOrRepresentativesCount>1</RepresentatedOrRepresentativesCount>
        <InvitedBy/>
        <CaseID>78142919</CaseID>
        <CaseJudicialPersonPresentationDS>
          <CaseJudicalPersonActive>
            <CaseID>78142919</CaseID>
            <JudicialPersonID>031902232@GOV.IL</JudicialPersonID>
            <JudicialPersonTypeID>1</JudicialPersonTypeID>
            <JudicialTypeID>1</JudicialTypeID>
            <IsChairman>false</IsChairman>
            <TreatmentStartDate>2021-02-28T08:05:32.59+02:00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223368728</CasePartyID>
        <PartyTypeID>2</PartyTypeID>
        <ActivityStatusID>1</ActivityStatusID>
        <PartyAliasID>20</PartyAliasID>
        <PartyAliasName>בא כוח תובעים</PartyAliasName>
        <OrdinalNumber>1</OrdinalNumber>
        <LegalEntityID>33128129</LegalEntityID>
        <CaseLegalEntityID>114401350</CaseLegalEntityID>
        <AuthenticationTypeID>4</AuthenticationTypeID>
        <AuthenticationTypeName>מ.ר.</AuthenticationTypeName>
        <LegalEntityNumber>53036</LegalEntityNumber>
        <IsMainPartyType>true</IsMainPartyType>
        <CaseDisplayIdentifier>57821-02-21</CaseDisplayIdentifier>
        <CaseTypeID>10262</CaseTypeID>
        <CaseTypeName>תביעה לאחר הסדר התדיינויות במשפחה (תלה"מ)</CaseTypeName>
        <CaseName>לוי נ' לוי</CaseName>
        <FullAddress>יצחק בן צבי 10 באר שבע מגדלי הרכבת קומה 6</FullAddress>
        <EmailAddress>bitonlawoffice@gmail.com</EmailAddress>
        <MotionID>0</MotionID>
        <CasePleaID>0</CasePleaID>
        <LinkedCaseID>0</LinkedCaseID>
        <PartyID>1</PartyID>
        <CasePartyCategoryID>2</CasePartyCategoryID>
        <LegalEntityAddressID>82350367</LegalEntityAddressID>
        <LegalEntityEmailAddressID>68013678</LegalEntityEmailAddressID>
        <PleaTypeID>4</PleaTypeID>
        <LawyerOfficeName>משרד עו"ד ארז ביטון</LawyerOfficeName>
        <LawyerOfficeID>69844175</LawyerOfficeID>
        <GroupPartyAlias/>
        <IsConverted>false</IsConverted>
        <LegalEntityNameID>34918500</LegalEntityNameID>
        <RepresentatedNamesOfAssistant/>
        <LegalEntityTypeID>4</LegalEntityTypeID>
        <IsVerdictExists>false</IsVerdictExists>
        <IsAsirAzir>false</IsAsirAzir>
        <IsPublicationProhibited>false</IsPublicationProhibited>
        <PublicationProhibitedFullName>נטלי ביטון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רוחמה לוי</FullName>
        <FirstName>רוחמה</FirstName>
        <LastName>לוי</LastName>
        <PartyPropertyName/>
        <AuthenticationTypeAndNumber>ת"ז 057724320</AuthenticationTypeAndNumber>
        <RepresentatedOrRepresentativesNames>נטלי ביטון</RepresentatedOrRepresentativesNames>
        <RepresentatedOrRepresentativesCount>1</RepresentatedOrRepresentativesCount>
        <InvitedBy/>
        <CaseID>78142919</CaseID>
        <CaseJudicialPersonPresentationDS>
          <CaseJudicalPersonActive>
            <CaseID>78142919</CaseID>
            <JudicialPersonID>031902232@GOV.IL</JudicialPersonID>
            <JudicialPersonTypeID>1</JudicialPersonTypeID>
            <JudicialTypeID>1</JudicialTypeID>
            <IsChairman>false</IsChairman>
            <TreatmentStartDate>2021-02-28T08:05:32.59+02:00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223368727</CasePartyID>
        <PartyTypeID>1</PartyTypeID>
        <ActivityStatusID>1</ActivityStatusID>
        <PartyAliasID>1</PartyAliasID>
        <PartyAliasName>תובע</PartyAliasName>
        <OrdinalNumber>1</OrdinalNumber>
        <LegalEntityID>76596120</LegalEntityID>
        <CaseLegalEntityID>114401349</CaseLegalEntityID>
        <AuthenticationTypeID>1</AuthenticationTypeID>
        <AuthenticationTypeName>ת"ז</AuthenticationTypeName>
        <LegalEntityNumber>057724320</LegalEntityNumber>
        <IsMainPartyType>true</IsMainPartyType>
        <CaseDisplayIdentifier>57821-02-21</CaseDisplayIdentifier>
        <CaseTypeID>10262</CaseTypeID>
        <CaseTypeName>תביעה לאחר הסדר התדיינויות במשפחה (תלה"מ)</CaseTypeName>
        <CaseName>לוי נ' לוי</CaseName>
        <FullAddress>עמנואל מורנו 5 דימונה </FullAddress>
        <MotionID>0</MotionID>
        <CasePleaID>0</CasePleaID>
        <FatherName>יוסף</FatherName>
        <LinkedCaseID>0</LinkedCaseID>
        <PartyID>1</PartyID>
        <CasePartyCategoryID>2</CasePartyCategoryID>
        <LegalEntityAddressID>84915732</LegalEntityAddressID>
        <PleaTypeID>4</PleaTypeID>
        <GroupPartyAlias>תובעים</GroupPartyAlias>
        <IsConverted>false</IsConverted>
        <LegalEntityRegisteredNameID>6709529</LegalEntityRegisteredNameID>
        <LegalEntityNameID>91014476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רוחמה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שמעון לוי</FullName>
        <FirstName>שמעון</FirstName>
        <LastName>לוי</LastName>
        <PartyPropertyName/>
        <AuthenticationTypeAndNumber>ת"ז 067742262</AuthenticationTypeAndNumber>
        <RepresentatedOrRepresentativesNames>כרמל מזוז</RepresentatedOrRepresentativesNames>
        <RepresentatedOrRepresentativesCount>1</RepresentatedOrRepresentativesCount>
        <InvitedBy/>
        <CaseID>78142919</CaseID>
        <CaseJudicialPersonPresentationDS>
          <CaseJudicalPersonActive>
            <CaseID>78142919</CaseID>
            <JudicialPersonID>031902232@GOV.IL</JudicialPersonID>
            <JudicialPersonTypeID>1</JudicialPersonTypeID>
            <JudicialTypeID>1</JudicialTypeID>
            <IsChairman>false</IsChairman>
            <TreatmentStartDate>2021-02-28T08:05:32.59+02:00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223368729</CasePartyID>
        <PartyTypeID>1</PartyTypeID>
        <ActivityStatusID>1</ActivityStatusID>
        <PartyAliasID>2</PartyAliasID>
        <PartyAliasName>נתבע</PartyAliasName>
        <OrdinalNumber>1</OrdinalNumber>
        <LegalEntityID>76596121</LegalEntityID>
        <CaseLegalEntityID>114401351</CaseLegalEntityID>
        <AuthenticationTypeID>1</AuthenticationTypeID>
        <AuthenticationTypeName>ת"ז</AuthenticationTypeName>
        <LegalEntityNumber>067742262</LegalEntityNumber>
        <IsMainPartyType>true</IsMainPartyType>
        <CaseDisplayIdentifier>57821-02-21</CaseDisplayIdentifier>
        <CaseTypeID>10262</CaseTypeID>
        <CaseTypeName>תביעה לאחר הסדר התדיינויות במשפחה (תלה"מ)</CaseTypeName>
        <CaseName>לוי נ' לוי</CaseName>
        <FullAddress>סחלבן החורש 14 דימונה </FullAddress>
        <MotionID>0</MotionID>
        <CasePleaID>0</CasePleaID>
        <FatherName>משה</FatherName>
        <LinkedCaseID>0</LinkedCaseID>
        <PartyID>2</PartyID>
        <CasePartyCategoryID>2</CasePartyCategoryID>
        <LegalEntityAddressID>84915733</LegalEntityAddressID>
        <PleaTypeID>4</PleaTypeID>
        <GroupPartyAlias>נתבעים</GroupPartyAlias>
        <IsConverted>false</IsConverted>
        <LegalEntityRegisteredNameID>6709530</LegalEntityRegisteredNameID>
        <LegalEntityNameID>91014477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לוי</PublicationProhibitedFullName>
      </CaseParties>
    </CasePartiesSelectionDS>
    <DecisionName>פסק דין  שניתנה ע"י  אפרת שהם דליות</DecisionName>
    <CourtDisplayName>בית משפט לענייני משפחה בבאר שבע</CourtDisplayName>
    <IsCaseJudgePanel>false</IsCaseJudgePanel>
    <DecisionSignatureDate>2024-01-16T18:22:15.7810047+02:00</DecisionSignatureDate>
    <OpenCaseDate>2021-02-26T07:00:00+02:00</OpenCaseDate>
    <CaseFeeSum>0.000</CaseFeeSum>
    <DecisionTypeID>2</DecisionTypeID>
    <DecisionSignatureUserName>אפרת שהם דליות</DecisionSignatureUserName>
    <DecisionSignatureDateHebrew>2024-01-16T18:22:15.7810047+02:00</DecisionSignatureDateHebrew>
    <DecisionWriterID>031902232@GOV.IL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לוי נ' לוי</CaseName>
    <DecisionNumberInCase>10</DecisionNumberInCase>
  </dt_Decision>
  <dt_DecisionCase>
    <DecisionID>0</DecisionID>
    <CaseID>78142919</CaseID>
    <CaseJudicialPersonPresentationDS>
      <CaseJudicalPersonActive>
        <CaseID>78142919</CaseID>
        <JudicialPersonID>031902232@GOV.IL</JudicialPersonID>
        <JudicialPersonTypeID>1</JudicialPersonTypeID>
        <JudicialTypeID>1</JudicialTypeID>
        <IsChairman>false</IsChairman>
        <TreatmentStartDate>2021-02-28T08:05:32.59+02:00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78142919</CaseID>
        <CaseJudicialPersonPresentationDS>
          <CaseJudicalPersonActive>
            <CaseID>78142919</CaseID>
            <JudicialPersonID>031902232@GOV.IL</JudicialPersonID>
            <JudicialPersonTypeID>1</JudicialPersonTypeID>
            <JudicialTypeID>1</JudicialTypeID>
            <IsChairman>false</IsChairman>
            <TreatmentStartDate>2021-02-28T08:05:32.59+02:00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226508343</CasePartyID>
        <PartyTypeID>5</PartyTypeID>
        <ActivityStatusID>1</ActivityStatusID>
        <PartyAliasID>102</PartyAliasID>
        <PartyAliasName>מומחה בית משפט</PartyAliasName>
        <LegalEntityID>71023342</LegalEntityID>
        <CaseLegalEntityID>115319371</CaseLegalEntityID>
        <AuthenticationTypeID>1</AuthenticationTypeID>
        <AuthenticationTypeName>ת"ז</AuthenticationTypeName>
        <LegalEntityNumber>024242158</LegalEntityNumber>
        <IsMainPartyType>true</IsMainPartyType>
        <CaseDisplayIdentifier>57821-02-21</CaseDisplayIdentifier>
        <CaseTypeID>10262</CaseTypeID>
        <CaseTypeName>תביעה לאחר הסדר התדיינויות במשפחה (תלה"מ)</CaseTypeName>
        <CaseName>לוי נ' לוי</CaseName>
        <FullAddress/>
        <MotionID>0</MotionID>
        <CasePleaID>0</CasePleaID>
        <FatherName xml:space="preserve">        </FatherName>
        <LinkedCaseID>0</LinkedCaseID>
        <CasePartyCategoryID>1</CasePartyCategoryID>
        <PleaTypeID>4</PleaTypeID>
        <GroupPartyAlias/>
        <IsConverted>false</IsConverted>
        <LegalEntityNameID>73878412</LegalEntityNameID>
        <RepresentatedNamesOfAssistant/>
        <LegalEntityTypeID>6</LegalEntityTypeID>
        <IsVerdictExists>false</IsVerdictExists>
        <IsAsirAzir>false</IsAsirAzir>
        <IsPublicationProhibited>false</IsPublicationProhibited>
        <PublicationProhibitedFullName>אבי יחזקאל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כרמל מזוז</FullName>
        <FirstName>כרמל</FirstName>
        <LastName>מזוז</LastName>
        <PartyPropertyName/>
        <AuthenticationTypeAndNumber>מ.ר. 41617</AuthenticationTypeAndNumber>
        <RepresentatedOrRepresentativesNames>שמעון לוי</RepresentatedOrRepresentativesNames>
        <RepresentatedOrRepresentativesCount>1</RepresentatedOrRepresentativesCount>
        <InvitedBy/>
        <CaseID>78142919</CaseID>
        <CaseJudicialPersonPresentationDS>
          <CaseJudicalPersonActive>
            <CaseID>78142919</CaseID>
            <JudicialPersonID>031902232@GOV.IL</JudicialPersonID>
            <JudicialPersonTypeID>1</JudicialPersonTypeID>
            <JudicialTypeID>1</JudicialTypeID>
            <IsChairman>false</IsChairman>
            <TreatmentStartDate>2021-02-28T08:05:32.59+02:00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223878212</CasePartyID>
        <PartyTypeID>2</PartyTypeID>
        <ActivityStatusID>1</ActivityStatusID>
        <PartyAliasID>21</PartyAliasID>
        <PartyAliasName>בא כוח נתבעים</PartyAliasName>
        <LegalEntityID>414833</LegalEntityID>
        <CaseLegalEntityID>114539832</CaseLegalEntityID>
        <AuthenticationTypeID>4</AuthenticationTypeID>
        <AuthenticationTypeName>מ.ר.</AuthenticationTypeName>
        <LegalEntityNumber>41617</LegalEntityNumber>
        <IsMainPartyType>true</IsMainPartyType>
        <CaseDisplayIdentifier>57821-02-21</CaseDisplayIdentifier>
        <CaseTypeID>10262</CaseTypeID>
        <CaseTypeName>תביעה לאחר הסדר התדיינויות במשפחה (תלה"מ)</CaseTypeName>
        <CaseName>לוי נ' לוי</CaseName>
        <FullAddress>בן צבי  10 באר שבע קומה 6</FullAddress>
        <EmailAddress>misrad22@gmail.com</EmailAddress>
        <MotionID>0</MotionID>
        <CasePleaID>0</CasePleaID>
        <LinkedCaseID>0</LinkedCaseID>
        <PartyID>2</PartyID>
        <CasePartyCategoryID>2</CasePartyCategoryID>
        <LegalEntityAddressID>76413424</LegalEntityAddressID>
        <LegalEntityEmailAddressID>67867230</LegalEntityEmailAddressID>
        <PleaTypeID>4</PleaTypeID>
        <LawyerOfficeName>משרד עו"ד יורם מזוז</LawyerOfficeName>
        <LawyerOfficeID>15873022</LawyerOfficeID>
        <GroupPartyAlias/>
        <IsConverted>false</IsConverted>
        <LegalEntityNameID>35817</LegalEntityNameID>
        <RepresentatedNamesOfAssistant/>
        <LegalEntityTypeID>4</LegalEntityTypeID>
        <IsVerdictExists>false</IsVerdictExists>
        <IsAsirAzir>false</IsAsirAzir>
        <IsPublicationProhibited>false</IsPublicationProhibited>
        <PublicationProhibitedFullName>כרמל מזוז</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נטלי ביטון</FullName>
        <FirstName>נטלי</FirstName>
        <LastName>ביטון</LastName>
        <PartyPropertyName/>
        <AuthenticationTypeAndNumber>מ.ר. 53036</AuthenticationTypeAndNumber>
        <RepresentatedOrRepresentativesNames>רוחמה לוי</RepresentatedOrRepresentativesNames>
        <RepresentatedOrRepresentativesCount>1</RepresentatedOrRepresentativesCount>
        <InvitedBy/>
        <CaseID>78142919</CaseID>
        <CaseJudicialPersonPresentationDS>
          <CaseJudicalPersonActive>
            <CaseID>78142919</CaseID>
            <JudicialPersonID>031902232@GOV.IL</JudicialPersonID>
            <JudicialPersonTypeID>1</JudicialPersonTypeID>
            <JudicialTypeID>1</JudicialTypeID>
            <IsChairman>false</IsChairman>
            <TreatmentStartDate>2021-02-28T08:05:32.59+02:00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223368728</CasePartyID>
        <PartyTypeID>2</PartyTypeID>
        <ActivityStatusID>1</ActivityStatusID>
        <PartyAliasID>20</PartyAliasID>
        <PartyAliasName>בא כוח תובעים</PartyAliasName>
        <OrdinalNumber>1</OrdinalNumber>
        <LegalEntityID>33128129</LegalEntityID>
        <CaseLegalEntityID>114401350</CaseLegalEntityID>
        <AuthenticationTypeID>4</AuthenticationTypeID>
        <AuthenticationTypeName>מ.ר.</AuthenticationTypeName>
        <LegalEntityNumber>53036</LegalEntityNumber>
        <IsMainPartyType>true</IsMainPartyType>
        <CaseDisplayIdentifier>57821-02-21</CaseDisplayIdentifier>
        <CaseTypeID>10262</CaseTypeID>
        <CaseTypeName>תביעה לאחר הסדר התדיינויות במשפחה (תלה"מ)</CaseTypeName>
        <CaseName>לוי נ' לוי</CaseName>
        <FullAddress>יצחק בן צבי 10 באר שבע מגדלי הרכבת קומה 6</FullAddress>
        <EmailAddress>bitonlawoffice@gmail.com</EmailAddress>
        <MotionID>0</MotionID>
        <CasePleaID>0</CasePleaID>
        <LinkedCaseID>0</LinkedCaseID>
        <PartyID>1</PartyID>
        <CasePartyCategoryID>2</CasePartyCategoryID>
        <LegalEntityAddressID>82350367</LegalEntityAddressID>
        <LegalEntityEmailAddressID>68013678</LegalEntityEmailAddressID>
        <PleaTypeID>4</PleaTypeID>
        <LawyerOfficeName>משרד עו"ד ארז ביטון</LawyerOfficeName>
        <LawyerOfficeID>69844175</LawyerOfficeID>
        <GroupPartyAlias/>
        <IsConverted>false</IsConverted>
        <LegalEntityNameID>34918500</LegalEntityNameID>
        <RepresentatedNamesOfAssistant/>
        <LegalEntityTypeID>4</LegalEntityTypeID>
        <IsVerdictExists>false</IsVerdictExists>
        <IsAsirAzir>false</IsAsirAzir>
        <IsPublicationProhibited>false</IsPublicationProhibited>
        <PublicationProhibitedFullName>נטלי ביטון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רוחמה לוי</FullName>
        <FirstName>רוחמה</FirstName>
        <LastName>לוי</LastName>
        <PartyPropertyName/>
        <AuthenticationTypeAndNumber>ת"ז 057724320</AuthenticationTypeAndNumber>
        <RepresentatedOrRepresentativesNames>נטלי ביטון</RepresentatedOrRepresentativesNames>
        <RepresentatedOrRepresentativesCount>1</RepresentatedOrRepresentativesCount>
        <InvitedBy/>
        <CaseID>78142919</CaseID>
        <CaseJudicialPersonPresentationDS>
          <CaseJudicalPersonActive>
            <CaseID>78142919</CaseID>
            <JudicialPersonID>031902232@GOV.IL</JudicialPersonID>
            <JudicialPersonTypeID>1</JudicialPersonTypeID>
            <JudicialTypeID>1</JudicialTypeID>
            <IsChairman>false</IsChairman>
            <TreatmentStartDate>2021-02-28T08:05:32.59+02:00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223368727</CasePartyID>
        <PartyTypeID>1</PartyTypeID>
        <ActivityStatusID>1</ActivityStatusID>
        <PartyAliasID>1</PartyAliasID>
        <PartyAliasName>תובע</PartyAliasName>
        <OrdinalNumber>1</OrdinalNumber>
        <LegalEntityID>76596120</LegalEntityID>
        <CaseLegalEntityID>114401349</CaseLegalEntityID>
        <AuthenticationTypeID>1</AuthenticationTypeID>
        <AuthenticationTypeName>ת"ז</AuthenticationTypeName>
        <LegalEntityNumber>057724320</LegalEntityNumber>
        <IsMainPartyType>true</IsMainPartyType>
        <CaseDisplayIdentifier>57821-02-21</CaseDisplayIdentifier>
        <CaseTypeID>10262</CaseTypeID>
        <CaseTypeName>תביעה לאחר הסדר התדיינויות במשפחה (תלה"מ)</CaseTypeName>
        <CaseName>לוי נ' לוי</CaseName>
        <FullAddress>עמנואל מורנו 5 דימונה </FullAddress>
        <MotionID>0</MotionID>
        <CasePleaID>0</CasePleaID>
        <FatherName>יוסף</FatherName>
        <LinkedCaseID>0</LinkedCaseID>
        <PartyID>1</PartyID>
        <CasePartyCategoryID>2</CasePartyCategoryID>
        <LegalEntityAddressID>84915732</LegalEntityAddressID>
        <PleaTypeID>4</PleaTypeID>
        <GroupPartyAlias>תובעים</GroupPartyAlias>
        <IsConverted>false</IsConverted>
        <LegalEntityRegisteredNameID>6709529</LegalEntityRegisteredNameID>
        <LegalEntityNameID>91014476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רוחמה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שמעון לוי</FullName>
        <FirstName>שמעון</FirstName>
        <LastName>לוי</LastName>
        <PartyPropertyName/>
        <AuthenticationTypeAndNumber>ת"ז 067742262</AuthenticationTypeAndNumber>
        <RepresentatedOrRepresentativesNames>כרמל מזוז</RepresentatedOrRepresentativesNames>
        <RepresentatedOrRepresentativesCount>1</RepresentatedOrRepresentativesCount>
        <InvitedBy/>
        <CaseID>78142919</CaseID>
        <CaseJudicialPersonPresentationDS>
          <CaseJudicalPersonActive>
            <CaseID>78142919</CaseID>
            <JudicialPersonID>031902232@GOV.IL</JudicialPersonID>
            <JudicialPersonTypeID>1</JudicialPersonTypeID>
            <JudicialTypeID>1</JudicialTypeID>
            <IsChairman>false</IsChairman>
            <TreatmentStartDate>2021-02-28T08:05:32.59+02:00</TreatmentStartDate>
            <TreatmentFinishDate>9999-12-31T23:59:59+02:00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223368729</CasePartyID>
        <PartyTypeID>1</PartyTypeID>
        <ActivityStatusID>1</ActivityStatusID>
        <PartyAliasID>2</PartyAliasID>
        <PartyAliasName>נתבע</PartyAliasName>
        <OrdinalNumber>1</OrdinalNumber>
        <LegalEntityID>76596121</LegalEntityID>
        <CaseLegalEntityID>114401351</CaseLegalEntityID>
        <AuthenticationTypeID>1</AuthenticationTypeID>
        <AuthenticationTypeName>ת"ז</AuthenticationTypeName>
        <LegalEntityNumber>067742262</LegalEntityNumber>
        <IsMainPartyType>true</IsMainPartyType>
        <CaseDisplayIdentifier>57821-02-21</CaseDisplayIdentifier>
        <CaseTypeID>10262</CaseTypeID>
        <CaseTypeName>תביעה לאחר הסדר התדיינויות במשפחה (תלה"מ)</CaseTypeName>
        <CaseName>לוי נ' לוי</CaseName>
        <FullAddress>סחלבן החורש 14 דימונה </FullAddress>
        <MotionID>0</MotionID>
        <CasePleaID>0</CasePleaID>
        <FatherName>משה</FatherName>
        <LinkedCaseID>0</LinkedCaseID>
        <PartyID>2</PartyID>
        <CasePartyCategoryID>2</CasePartyCategoryID>
        <LegalEntityAddressID>84915733</LegalEntityAddressID>
        <PleaTypeID>4</PleaTypeID>
        <GroupPartyAlias>נתבעים</GroupPartyAlias>
        <IsConverted>false</IsConverted>
        <LegalEntityRegisteredNameID>6709530</LegalEntityRegisteredNameID>
        <LegalEntityNameID>91014477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שמעון לוי</PublicationProhibitedFullName>
      </CaseParties>
    </CasePartiesSelectionDS>
    <CaseName>לוי נ' לוי</CaseName>
    <CaseDisplayIdentifier>57821-02-21</CaseDisplayIdentifier>
    <CaseInterestID>10513</CaseInterestID>
    <CaseTypeShortName>תלה"מ</CaseTypeShortName>
  </dt_DecisionCase>
  <dt_DecisionJudgePanel>
    <JudgeID>031902232@GOV.IL</JudgeID>
    <DisplayName>אפרת שהם דליות</DisplayName>
    <RoleName>שופט</RoleName>
    <UserTitleName>שופטת</UserTitleName>
  </dt_DecisionJudgePanel>
  <dt_LegalEntityDetails>
    <Fax>08-9100550</Fax>
    <Phone>08-6270141</Phone>
    <AddressDesc>קומה 6</AddressDesc>
    <PartyID>2</PartyID>
    <PartyTypeID>2</PartyTypeID>
    <DecisionID>0</DecisionID>
    <StreetName>בן צבי  10</StreetName>
    <ZipCode>84893</ZipCode>
    <CityName>באר שבע</CityName>
    <FullName>כרמל מזוז</FullName>
    <Email>misrad22@gmail.com</Email>
    <IsPublicationProhibited>false</IsPublicationProhibited>
  </dt_LegalEntityDetails>
  <dt_LegalEntityDetails>
    <PartyTypeID>5</PartyTypeID>
    <DecisionID>0</DecisionID>
    <FullName>אבי יחזקאל</FullName>
    <Email>OFFICE@ACTUAR.CO.IL</Email>
    <IsPublicationProhibited>false</IsPublicationProhibited>
  </dt_LegalEntityDetails>
  <dt_LegalEntityDetails>
    <PartyID>1</PartyID>
    <PartyTypeID>1</PartyTypeID>
    <DecisionID>0</DecisionID>
    <StreetName>עמנואל מורנו 5</StreetName>
    <CityName>דימונה</CityName>
    <FullName>רוחמה  לוי </FullName>
    <IsPublicationProhibited>false</IsPublicationProhibited>
  </dt_LegalEntityDetails>
  <dt_LegalEntityDetails>
    <Fax>08-6284320</Fax>
    <Phone>08-6284719</Phone>
    <AddressDesc>מגדלי הרכבת קומה 6</AddressDesc>
    <PartyID>1</PartyID>
    <PartyTypeID>2</PartyTypeID>
    <DecisionID>0</DecisionID>
    <StreetName>יצחק בן צבי 10</StreetName>
    <CityName>באר שבע</CityName>
    <FullName>נטלי ביטון</FullName>
    <Email>bitonlawoffice@gmail.com</Email>
    <IsPublicationProhibited>false</IsPublicationProhibited>
  </dt_LegalEntityDetails>
  <dt_LegalEntityDetails>
    <PartyID>2</PartyID>
    <PartyTypeID>1</PartyTypeID>
    <DecisionID>0</DecisionID>
    <StreetName>סחלבן החורש 14</StreetName>
    <CityName>דימונה</CityName>
    <FullName>שמעון לוי</FullName>
    <IsPublicationProhibited>false</IsPublicationProhibited>
  </dt_LegalEntityDetails>
  <dt_CaseJudicalPersonActive>
    <CaseJudicalPerson>שופטת אפרת שהם דליות</CaseJudicalPerson>
  </dt_CaseJudicalPersonActive>
  <dt_Sitting>
    <PreviousMeetingDate>2023-01-30T10:00:00+02:00</PreviousMeetingDate>
    <PreviousSittingTypeID>2</PreviousSittingTypeID>
    <PreviousMeetingDisplayName>שופטת אפרת שהם דליות</PreviousMeetingDisplayName>
    <PreviousMeetingRoleName>שופט</PreviousMeetingRoleName>
    <PreviousMeetingUserTitleName>שופטת</PreviousMeetingUserTitleName>
    <PreviousMeetingUserUPN>031902232@GOV.IL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844ED-DA92-4F50-8CE0-652D03322567}">
  <ds:schemaRefs/>
</ds:datastoreItem>
</file>

<file path=customXml/itemProps2.xml><?xml version="1.0" encoding="utf-8"?>
<ds:datastoreItem xmlns:ds="http://schemas.openxmlformats.org/officeDocument/2006/customXml" ds:itemID="{B29354A7-BC41-4F8B-A3E6-42172660B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3262</Words>
  <Characters>16310</Characters>
  <Application>Microsoft Office Word</Application>
  <DocSecurity>0</DocSecurity>
  <Lines>135</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2024-11-28T09:47:00Z</dcterms:created>
  <dcterms:modified xsi:type="dcterms:W3CDTF">2024-11-28T09:47:00Z</dcterms:modified>
</cp:coreProperties>
</file>